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EC" w:rsidRPr="00E40099" w:rsidRDefault="009E376C" w:rsidP="001548EC">
      <w:pPr>
        <w:jc w:val="right"/>
        <w:rPr>
          <w:b/>
          <w:lang w:val="ro-RO"/>
        </w:rPr>
      </w:pPr>
      <w:r w:rsidRPr="009E376C">
        <w:rPr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5pt;margin-top:-39.15pt;width:66.5pt;height:53.65pt;z-index:-251658752;mso-wrap-edited:f" wrapcoords="-204 0 -204 21346 21600 21346 21600 0 -204 0">
            <v:imagedata r:id="rId7" o:title=""/>
          </v:shape>
          <o:OLEObject Type="Embed" ProgID="PBrush" ShapeID="_x0000_s1026" DrawAspect="Content" ObjectID="_1803283835" r:id="rId8"/>
        </w:pict>
      </w:r>
      <w:r w:rsidR="001548EC" w:rsidRPr="000829DF">
        <w:rPr>
          <w:b/>
          <w:lang w:val="ro-RO"/>
        </w:rPr>
        <w:t>PROIECT</w:t>
      </w:r>
    </w:p>
    <w:p w:rsidR="001548EC" w:rsidRPr="00251C43" w:rsidRDefault="001548EC" w:rsidP="001548EC">
      <w:pPr>
        <w:jc w:val="center"/>
        <w:rPr>
          <w:b/>
          <w:lang w:val="en-US"/>
        </w:rPr>
      </w:pPr>
      <w:r w:rsidRPr="00251C43">
        <w:rPr>
          <w:b/>
          <w:lang w:val="en-US"/>
        </w:rPr>
        <w:t>REPUBLICA MOLDOVA</w:t>
      </w:r>
    </w:p>
    <w:p w:rsidR="001548EC" w:rsidRDefault="001548EC" w:rsidP="001548EC">
      <w:pPr>
        <w:jc w:val="center"/>
        <w:rPr>
          <w:b/>
          <w:lang w:val="en-US"/>
        </w:rPr>
      </w:pPr>
      <w:r w:rsidRPr="00251C43">
        <w:rPr>
          <w:b/>
          <w:lang w:val="en-US"/>
        </w:rPr>
        <w:t>CONSILIUL RAIONAL FLOREŞTI</w:t>
      </w:r>
    </w:p>
    <w:p w:rsidR="001548EC" w:rsidRDefault="001548EC" w:rsidP="001548EC">
      <w:pPr>
        <w:jc w:val="center"/>
        <w:rPr>
          <w:b/>
          <w:lang w:val="en-US"/>
        </w:rPr>
      </w:pPr>
    </w:p>
    <w:p w:rsidR="001548EC" w:rsidRPr="00251C43" w:rsidRDefault="001548EC" w:rsidP="001548EC">
      <w:pPr>
        <w:jc w:val="center"/>
        <w:rPr>
          <w:b/>
          <w:lang w:val="ro-RO"/>
        </w:rPr>
      </w:pPr>
      <w:r>
        <w:rPr>
          <w:b/>
          <w:lang w:val="en-US"/>
        </w:rPr>
        <w:t>DECIZIE Nr.0</w:t>
      </w:r>
      <w:r w:rsidR="00C73679">
        <w:rPr>
          <w:b/>
          <w:lang w:val="en-US"/>
        </w:rPr>
        <w:t>2</w:t>
      </w:r>
      <w:r>
        <w:rPr>
          <w:b/>
          <w:lang w:val="en-US"/>
        </w:rPr>
        <w:t>/___</w:t>
      </w:r>
    </w:p>
    <w:p w:rsidR="001548EC" w:rsidRPr="000249BF" w:rsidRDefault="001548EC" w:rsidP="001548EC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din</w:t>
      </w:r>
      <w:proofErr w:type="gramEnd"/>
      <w:r>
        <w:rPr>
          <w:b/>
          <w:lang w:val="en-US"/>
        </w:rPr>
        <w:t xml:space="preserve"> ___ </w:t>
      </w:r>
      <w:proofErr w:type="spellStart"/>
      <w:r w:rsidR="00F01D7D">
        <w:rPr>
          <w:b/>
          <w:lang w:val="en-US"/>
        </w:rPr>
        <w:t>martie</w:t>
      </w:r>
      <w:proofErr w:type="spellEnd"/>
      <w:r w:rsidR="00F01D7D">
        <w:rPr>
          <w:b/>
          <w:lang w:val="en-US"/>
        </w:rPr>
        <w:t xml:space="preserve"> </w:t>
      </w:r>
      <w:r>
        <w:rPr>
          <w:b/>
          <w:lang w:val="en-US"/>
        </w:rPr>
        <w:t xml:space="preserve"> 2025</w:t>
      </w:r>
    </w:p>
    <w:p w:rsidR="001548EC" w:rsidRDefault="001548EC" w:rsidP="001548EC">
      <w:pPr>
        <w:rPr>
          <w:lang w:val="ro-RO"/>
        </w:rPr>
      </w:pPr>
    </w:p>
    <w:p w:rsidR="00F01D7D" w:rsidRDefault="00F01D7D" w:rsidP="001548EC">
      <w:pPr>
        <w:jc w:val="both"/>
        <w:rPr>
          <w:lang w:val="ro-RO"/>
        </w:rPr>
      </w:pPr>
    </w:p>
    <w:p w:rsidR="00F12C76" w:rsidRPr="002C7FA9" w:rsidRDefault="001548EC" w:rsidP="001548EC">
      <w:pPr>
        <w:jc w:val="both"/>
        <w:rPr>
          <w:b/>
          <w:lang w:val="ro-RO"/>
        </w:rPr>
      </w:pPr>
      <w:r w:rsidRPr="002C7FA9">
        <w:rPr>
          <w:b/>
          <w:lang w:val="ro-RO"/>
        </w:rPr>
        <w:t xml:space="preserve">Cu privire la aprobarea </w:t>
      </w:r>
      <w:r w:rsidR="00B603FF">
        <w:rPr>
          <w:b/>
          <w:lang w:val="ro-RO"/>
        </w:rPr>
        <w:t>Declaraţiei</w:t>
      </w:r>
      <w:r w:rsidRPr="002C7FA9">
        <w:rPr>
          <w:b/>
          <w:lang w:val="ro-RO"/>
        </w:rPr>
        <w:t xml:space="preserve"> de Parteneriat</w:t>
      </w:r>
    </w:p>
    <w:p w:rsidR="00F01D7D" w:rsidRPr="002C7FA9" w:rsidRDefault="002C7FA9" w:rsidP="001548EC">
      <w:pPr>
        <w:jc w:val="both"/>
        <w:rPr>
          <w:b/>
          <w:lang w:val="ro-RO"/>
        </w:rPr>
      </w:pPr>
      <w:r>
        <w:rPr>
          <w:b/>
          <w:lang w:val="ro-RO"/>
        </w:rPr>
        <w:t>în cadrul proiectului „Efi</w:t>
      </w:r>
      <w:r w:rsidR="001548EC" w:rsidRPr="002C7FA9">
        <w:rPr>
          <w:b/>
          <w:lang w:val="ro-RO"/>
        </w:rPr>
        <w:t>ci</w:t>
      </w:r>
      <w:r w:rsidR="00F01D7D" w:rsidRPr="002C7FA9">
        <w:rPr>
          <w:b/>
          <w:lang w:val="ro-RO"/>
        </w:rPr>
        <w:t>en</w:t>
      </w:r>
      <w:r w:rsidR="001548EC" w:rsidRPr="002C7FA9">
        <w:rPr>
          <w:b/>
          <w:lang w:val="ro-RO"/>
        </w:rPr>
        <w:t>ti</w:t>
      </w:r>
      <w:r w:rsidR="00F01D7D" w:rsidRPr="002C7FA9">
        <w:rPr>
          <w:b/>
          <w:lang w:val="ro-RO"/>
        </w:rPr>
        <w:t xml:space="preserve">zarea tehnică și </w:t>
      </w:r>
    </w:p>
    <w:p w:rsidR="00F01D7D" w:rsidRPr="002C7FA9" w:rsidRDefault="00F01D7D" w:rsidP="001548EC">
      <w:pPr>
        <w:jc w:val="both"/>
        <w:rPr>
          <w:b/>
          <w:lang w:val="ro-RO"/>
        </w:rPr>
      </w:pPr>
      <w:r w:rsidRPr="002C7FA9">
        <w:rPr>
          <w:b/>
          <w:lang w:val="ro-RO"/>
        </w:rPr>
        <w:t xml:space="preserve">tehnologică a serviciului public intercomunitar </w:t>
      </w:r>
    </w:p>
    <w:p w:rsidR="001548EC" w:rsidRPr="002C7FA9" w:rsidRDefault="00F01D7D" w:rsidP="001548EC">
      <w:pPr>
        <w:jc w:val="both"/>
        <w:rPr>
          <w:b/>
          <w:lang w:val="ro-RO"/>
        </w:rPr>
      </w:pPr>
      <w:r w:rsidRPr="002C7FA9">
        <w:rPr>
          <w:b/>
          <w:lang w:val="ro-RO"/>
        </w:rPr>
        <w:t>de management a deșeurilor menajere solide din raionul Florești</w:t>
      </w:r>
      <w:r w:rsidR="001F3A1B" w:rsidRPr="002C7FA9">
        <w:rPr>
          <w:b/>
          <w:lang w:val="ro-RO"/>
        </w:rPr>
        <w:t>”</w:t>
      </w:r>
    </w:p>
    <w:p w:rsidR="00F01D7D" w:rsidRDefault="00F01D7D" w:rsidP="001548EC">
      <w:pPr>
        <w:jc w:val="both"/>
        <w:rPr>
          <w:lang w:val="ro-RO"/>
        </w:rPr>
      </w:pPr>
    </w:p>
    <w:p w:rsidR="001F3A1B" w:rsidRPr="001F3A1B" w:rsidRDefault="005C5A42" w:rsidP="001F3A1B">
      <w:pPr>
        <w:jc w:val="both"/>
        <w:rPr>
          <w:b/>
          <w:bCs/>
          <w:lang w:val="ro-RO"/>
        </w:rPr>
      </w:pPr>
      <w:r>
        <w:rPr>
          <w:lang w:val="ro-RO"/>
        </w:rPr>
        <w:t xml:space="preserve">    </w:t>
      </w:r>
      <w:r w:rsidR="00F01F12">
        <w:rPr>
          <w:lang w:val="ro-RO"/>
        </w:rPr>
        <w:t xml:space="preserve"> Urmare a dem</w:t>
      </w:r>
      <w:r w:rsidR="00CB1091">
        <w:rPr>
          <w:lang w:val="ro-RO"/>
        </w:rPr>
        <w:t xml:space="preserve">ersului </w:t>
      </w:r>
      <w:r w:rsidR="00011E2A">
        <w:rPr>
          <w:lang w:val="ro-RO"/>
        </w:rPr>
        <w:t xml:space="preserve">dlui Vadim Ţugui, Primar al comunei Gura Camencii, </w:t>
      </w:r>
      <w:r w:rsidR="00CB1091">
        <w:rPr>
          <w:lang w:val="ro-RO"/>
        </w:rPr>
        <w:t>nr.57 din 10.03.2025</w:t>
      </w:r>
      <w:r w:rsidR="00F01F12">
        <w:rPr>
          <w:lang w:val="ro-RO"/>
        </w:rPr>
        <w:t>,</w:t>
      </w:r>
      <w:r w:rsidR="00C73679">
        <w:rPr>
          <w:lang w:val="ro-RO"/>
        </w:rPr>
        <w:t xml:space="preserve"> î</w:t>
      </w:r>
      <w:r w:rsidR="00F01D7D">
        <w:rPr>
          <w:lang w:val="ro-RO"/>
        </w:rPr>
        <w:t>n scopul</w:t>
      </w:r>
      <w:r w:rsidR="001F3A1B">
        <w:rPr>
          <w:lang w:val="ro-RO"/>
        </w:rPr>
        <w:t xml:space="preserve"> dezvoltării creșterii eficienței serviciilor publice, a îmbunătățirii condițiilor de mediu și a optimizării gestionării deșeurilor menajere solide în raionul Floreș</w:t>
      </w:r>
      <w:r w:rsidR="002C7FA9">
        <w:rPr>
          <w:lang w:val="ro-RO"/>
        </w:rPr>
        <w:t>ti, în cadrul proiectului  „Efi</w:t>
      </w:r>
      <w:r w:rsidR="001F3A1B">
        <w:rPr>
          <w:lang w:val="ro-RO"/>
        </w:rPr>
        <w:t xml:space="preserve">cientizarea tehnică și tehnologică a serviciului public intercomunitar de management a deșeurilor menajere solide din raionul Florești”, </w:t>
      </w:r>
      <w:proofErr w:type="spellStart"/>
      <w:r w:rsidR="00FC1E32">
        <w:rPr>
          <w:lang w:val="ro-RO"/>
        </w:rPr>
        <w:t>a</w:t>
      </w:r>
      <w:r w:rsidR="001F3A1B">
        <w:rPr>
          <w:lang w:val="ro-RO"/>
        </w:rPr>
        <w:t>plicant</w:t>
      </w:r>
      <w:proofErr w:type="spellEnd"/>
      <w:r w:rsidR="001F3A1B">
        <w:rPr>
          <w:lang w:val="ro-RO"/>
        </w:rPr>
        <w:t xml:space="preserve"> Primăria c</w:t>
      </w:r>
      <w:r w:rsidR="00AB7A0C">
        <w:rPr>
          <w:lang w:val="ro-RO"/>
        </w:rPr>
        <w:t>omunei</w:t>
      </w:r>
      <w:r w:rsidR="001F3A1B">
        <w:rPr>
          <w:lang w:val="ro-RO"/>
        </w:rPr>
        <w:t xml:space="preserve"> Gura Camencii</w:t>
      </w:r>
      <w:r w:rsidR="00CB1091">
        <w:rPr>
          <w:lang w:val="ro-RO"/>
        </w:rPr>
        <w:t>,</w:t>
      </w:r>
      <w:r w:rsidR="001F3A1B">
        <w:rPr>
          <w:lang w:val="ro-RO"/>
        </w:rPr>
        <w:t xml:space="preserve"> raionul Florești, în temeiul art.43 alin.(1)</w:t>
      </w:r>
      <w:r w:rsidR="002C7FA9">
        <w:rPr>
          <w:lang w:val="ro-RO"/>
        </w:rPr>
        <w:t xml:space="preserve"> </w:t>
      </w:r>
      <w:r w:rsidR="00E862EC">
        <w:rPr>
          <w:lang w:val="ro-RO"/>
        </w:rPr>
        <w:t xml:space="preserve">lit. c) şi </w:t>
      </w:r>
      <w:r w:rsidR="001F3A1B">
        <w:rPr>
          <w:lang w:val="ro-RO"/>
        </w:rPr>
        <w:t xml:space="preserve">t) și art.46 alin.(1) din Legea nr.436/2006 privind administrația publică locală, Consiliul raional </w:t>
      </w:r>
      <w:r w:rsidR="001F3A1B" w:rsidRPr="001F3A1B">
        <w:rPr>
          <w:b/>
          <w:bCs/>
          <w:lang w:val="ro-RO"/>
        </w:rPr>
        <w:t>D E C I D E:</w:t>
      </w:r>
    </w:p>
    <w:p w:rsidR="00F01D7D" w:rsidRDefault="00F01D7D" w:rsidP="001548EC">
      <w:pPr>
        <w:jc w:val="both"/>
        <w:rPr>
          <w:lang w:val="ro-RO"/>
        </w:rPr>
      </w:pPr>
    </w:p>
    <w:p w:rsidR="00C87113" w:rsidRPr="00A05F97" w:rsidRDefault="001F3A1B" w:rsidP="00EE7117">
      <w:pPr>
        <w:pStyle w:val="a7"/>
        <w:numPr>
          <w:ilvl w:val="0"/>
          <w:numId w:val="2"/>
        </w:numPr>
        <w:ind w:left="426"/>
        <w:jc w:val="both"/>
        <w:rPr>
          <w:lang w:val="ro-RO"/>
        </w:rPr>
      </w:pPr>
      <w:r w:rsidRPr="00397382">
        <w:rPr>
          <w:lang w:val="ro-RO"/>
        </w:rPr>
        <w:t xml:space="preserve">Se aprobă </w:t>
      </w:r>
      <w:r w:rsidR="00B603FF">
        <w:rPr>
          <w:lang w:val="ro-RO"/>
        </w:rPr>
        <w:t>Declaraţia de Pa</w:t>
      </w:r>
      <w:r w:rsidRPr="00397382">
        <w:rPr>
          <w:lang w:val="ro-RO"/>
        </w:rPr>
        <w:t>rteneriat între Consiliul raional Florești și</w:t>
      </w:r>
      <w:r w:rsidR="005C5A42" w:rsidRPr="00397382">
        <w:rPr>
          <w:lang w:val="ro-RO"/>
        </w:rPr>
        <w:t xml:space="preserve"> </w:t>
      </w:r>
      <w:r w:rsidR="009E2C27" w:rsidRPr="00A05F97">
        <w:rPr>
          <w:lang w:val="ro-RO"/>
        </w:rPr>
        <w:t>autorităţile publ</w:t>
      </w:r>
      <w:r w:rsidR="00160A00" w:rsidRPr="00A05F97">
        <w:rPr>
          <w:lang w:val="ro-RO"/>
        </w:rPr>
        <w:t>ice ale comunei</w:t>
      </w:r>
      <w:r w:rsidRPr="00A05F97">
        <w:rPr>
          <w:lang w:val="ro-RO"/>
        </w:rPr>
        <w:t xml:space="preserve"> Gura Camencii</w:t>
      </w:r>
      <w:r w:rsidR="008D0824" w:rsidRPr="00A05F97">
        <w:rPr>
          <w:lang w:val="ro-RO"/>
        </w:rPr>
        <w:t>, raionul Floreşti,</w:t>
      </w:r>
      <w:r w:rsidRPr="00A05F97">
        <w:rPr>
          <w:lang w:val="ro-RO"/>
        </w:rPr>
        <w:t xml:space="preserve"> </w:t>
      </w:r>
      <w:r w:rsidR="00F01F12" w:rsidRPr="00A05F97">
        <w:rPr>
          <w:lang w:val="ro-RO"/>
        </w:rPr>
        <w:t>în cadrul proiectului „Efi</w:t>
      </w:r>
      <w:r w:rsidR="00C87113" w:rsidRPr="00A05F97">
        <w:rPr>
          <w:lang w:val="ro-RO"/>
        </w:rPr>
        <w:t>cientizarea tehnică și tehnologică a serviciului public intercomunitar de management a deșeurilor menajere solide din raionul Florești”</w:t>
      </w:r>
      <w:r w:rsidR="00B603FF" w:rsidRPr="00A05F97">
        <w:rPr>
          <w:lang w:val="ro-RO"/>
        </w:rPr>
        <w:t xml:space="preserve"> </w:t>
      </w:r>
      <w:r w:rsidR="00C87113" w:rsidRPr="00A05F97">
        <w:rPr>
          <w:lang w:val="ro-RO"/>
        </w:rPr>
        <w:t>(se anexează).</w:t>
      </w:r>
    </w:p>
    <w:p w:rsidR="00C87113" w:rsidRPr="00A05F97" w:rsidRDefault="00C87113" w:rsidP="00EE7117">
      <w:pPr>
        <w:ind w:left="426"/>
        <w:jc w:val="both"/>
        <w:rPr>
          <w:lang w:val="ro-RO"/>
        </w:rPr>
      </w:pPr>
    </w:p>
    <w:p w:rsidR="00C87113" w:rsidRPr="00A05F97" w:rsidRDefault="00C87113" w:rsidP="00EE7117">
      <w:pPr>
        <w:pStyle w:val="a7"/>
        <w:numPr>
          <w:ilvl w:val="0"/>
          <w:numId w:val="2"/>
        </w:numPr>
        <w:ind w:left="426"/>
        <w:jc w:val="both"/>
        <w:rPr>
          <w:lang w:val="ro-RO"/>
        </w:rPr>
      </w:pPr>
      <w:r w:rsidRPr="00A05F97">
        <w:rPr>
          <w:lang w:val="ro-RO"/>
        </w:rPr>
        <w:t>Se garantează contribuția Consiliului raional</w:t>
      </w:r>
      <w:r w:rsidR="00F01F12" w:rsidRPr="00A05F97">
        <w:rPr>
          <w:lang w:val="ro-RO"/>
        </w:rPr>
        <w:t xml:space="preserve"> Florești pentru proiectul „Efi</w:t>
      </w:r>
      <w:r w:rsidRPr="00A05F97">
        <w:rPr>
          <w:lang w:val="ro-RO"/>
        </w:rPr>
        <w:t xml:space="preserve">cientizarea tehnică și tehnologică a serviciului public intercomunitar de management a deșeurilor menajere solide din raionul Florești” </w:t>
      </w:r>
      <w:r w:rsidR="00A05F97">
        <w:rPr>
          <w:lang w:val="ro-RO"/>
        </w:rPr>
        <w:t xml:space="preserve">în valoare </w:t>
      </w:r>
      <w:r w:rsidRPr="00A05F97">
        <w:rPr>
          <w:lang w:val="ro-RO"/>
        </w:rPr>
        <w:t>de 17</w:t>
      </w:r>
      <w:r w:rsidR="00C73679" w:rsidRPr="00A05F97">
        <w:rPr>
          <w:lang w:val="ro-RO"/>
        </w:rPr>
        <w:t> </w:t>
      </w:r>
      <w:r w:rsidRPr="00A05F97">
        <w:rPr>
          <w:lang w:val="ro-RO"/>
        </w:rPr>
        <w:t>155</w:t>
      </w:r>
      <w:r w:rsidR="00C73679" w:rsidRPr="00A05F97">
        <w:rPr>
          <w:lang w:val="ro-RO"/>
        </w:rPr>
        <w:t>.</w:t>
      </w:r>
      <w:r w:rsidRPr="00A05F97">
        <w:rPr>
          <w:lang w:val="ro-RO"/>
        </w:rPr>
        <w:t>6</w:t>
      </w:r>
      <w:r w:rsidR="00C73679" w:rsidRPr="00A05F97">
        <w:rPr>
          <w:lang w:val="ro-RO"/>
        </w:rPr>
        <w:t>0</w:t>
      </w:r>
      <w:r w:rsidRPr="00A05F97">
        <w:rPr>
          <w:lang w:val="ro-RO"/>
        </w:rPr>
        <w:t xml:space="preserve"> lei</w:t>
      </w:r>
      <w:r w:rsidR="00482833" w:rsidRPr="00A05F97">
        <w:rPr>
          <w:lang w:val="ro-RO"/>
        </w:rPr>
        <w:t>,</w:t>
      </w:r>
      <w:r w:rsidRPr="00A05F97">
        <w:rPr>
          <w:lang w:val="ro-RO"/>
        </w:rPr>
        <w:t xml:space="preserve"> direct proporțională cu </w:t>
      </w:r>
      <w:r w:rsidR="008C4169">
        <w:rPr>
          <w:lang w:val="ro-RO"/>
        </w:rPr>
        <w:t>acţiunile</w:t>
      </w:r>
      <w:r w:rsidRPr="00A05F97">
        <w:rPr>
          <w:lang w:val="ro-RO"/>
        </w:rPr>
        <w:t xml:space="preserve"> deținut</w:t>
      </w:r>
      <w:r w:rsidR="008C4169">
        <w:rPr>
          <w:lang w:val="ro-RO"/>
        </w:rPr>
        <w:t>e</w:t>
      </w:r>
      <w:r w:rsidRPr="00A05F97">
        <w:rPr>
          <w:lang w:val="ro-RO"/>
        </w:rPr>
        <w:t xml:space="preserve"> în SA </w:t>
      </w:r>
      <w:r w:rsidR="005C5A42" w:rsidRPr="00A05F97">
        <w:rPr>
          <w:lang w:val="ro-RO"/>
        </w:rPr>
        <w:t>„</w:t>
      </w:r>
      <w:r w:rsidRPr="00A05F97">
        <w:rPr>
          <w:lang w:val="ro-RO"/>
        </w:rPr>
        <w:t>Servicii Salubrizare Florești</w:t>
      </w:r>
      <w:r w:rsidR="005C5A42" w:rsidRPr="00A05F97">
        <w:rPr>
          <w:lang w:val="ro-RO"/>
        </w:rPr>
        <w:t>”</w:t>
      </w:r>
      <w:r w:rsidRPr="00A05F97">
        <w:rPr>
          <w:lang w:val="ro-RO"/>
        </w:rPr>
        <w:t>.</w:t>
      </w:r>
    </w:p>
    <w:p w:rsidR="00C87113" w:rsidRPr="00A05F97" w:rsidRDefault="00C87113" w:rsidP="00EE7117">
      <w:pPr>
        <w:ind w:left="426"/>
        <w:jc w:val="both"/>
        <w:rPr>
          <w:lang w:val="ro-RO"/>
        </w:rPr>
      </w:pPr>
    </w:p>
    <w:p w:rsidR="00C87113" w:rsidRPr="00397382" w:rsidRDefault="00C87113" w:rsidP="00EE7117">
      <w:pPr>
        <w:pStyle w:val="a7"/>
        <w:numPr>
          <w:ilvl w:val="0"/>
          <w:numId w:val="2"/>
        </w:numPr>
        <w:ind w:left="426"/>
        <w:jc w:val="both"/>
        <w:rPr>
          <w:lang w:val="ro-RO"/>
        </w:rPr>
      </w:pPr>
      <w:r w:rsidRPr="00A05F97">
        <w:rPr>
          <w:lang w:val="ro-RO"/>
        </w:rPr>
        <w:t>Se împuternicește Președintele raion</w:t>
      </w:r>
      <w:r w:rsidR="002F7937" w:rsidRPr="00A05F97">
        <w:rPr>
          <w:lang w:val="ro-RO"/>
        </w:rPr>
        <w:t>ului Florești să semneze Declaraţia</w:t>
      </w:r>
      <w:r w:rsidRPr="00A05F97">
        <w:rPr>
          <w:lang w:val="ro-RO"/>
        </w:rPr>
        <w:t xml:space="preserve"> de Parteneriat între Consiliul raional Florești și </w:t>
      </w:r>
      <w:r w:rsidR="005C5A42" w:rsidRPr="00A05F97">
        <w:rPr>
          <w:lang w:val="ro-RO"/>
        </w:rPr>
        <w:t xml:space="preserve">Primăria </w:t>
      </w:r>
      <w:r w:rsidRPr="00A05F97">
        <w:rPr>
          <w:lang w:val="ro-RO"/>
        </w:rPr>
        <w:t>c</w:t>
      </w:r>
      <w:r w:rsidR="00AB7A0C" w:rsidRPr="00A05F97">
        <w:rPr>
          <w:lang w:val="ro-RO"/>
        </w:rPr>
        <w:t>omunei</w:t>
      </w:r>
      <w:r w:rsidRPr="00A05F97">
        <w:rPr>
          <w:lang w:val="ro-RO"/>
        </w:rPr>
        <w:t xml:space="preserve"> </w:t>
      </w:r>
      <w:r w:rsidR="00AB7A0C" w:rsidRPr="00A05F97">
        <w:rPr>
          <w:lang w:val="ro-RO"/>
        </w:rPr>
        <w:t>Gura Camencii raionul Florești</w:t>
      </w:r>
      <w:r w:rsidR="00B218CE">
        <w:rPr>
          <w:lang w:val="ro-RO"/>
        </w:rPr>
        <w:t>, precum</w:t>
      </w:r>
      <w:r w:rsidR="00AB7A0C" w:rsidRPr="00A05F97">
        <w:rPr>
          <w:lang w:val="ro-RO"/>
        </w:rPr>
        <w:t xml:space="preserve"> </w:t>
      </w:r>
      <w:r w:rsidRPr="00A05F97">
        <w:rPr>
          <w:lang w:val="ro-RO"/>
        </w:rPr>
        <w:t>și</w:t>
      </w:r>
      <w:r w:rsidRPr="00397382">
        <w:rPr>
          <w:lang w:val="ro-RO"/>
        </w:rPr>
        <w:t xml:space="preserve"> scrisoarea de </w:t>
      </w:r>
      <w:r w:rsidR="002966AA">
        <w:rPr>
          <w:lang w:val="ro-RO"/>
        </w:rPr>
        <w:t xml:space="preserve">confirmare a </w:t>
      </w:r>
      <w:r w:rsidRPr="00397382">
        <w:rPr>
          <w:lang w:val="ro-RO"/>
        </w:rPr>
        <w:t>contribuție</w:t>
      </w:r>
      <w:r w:rsidR="002966AA">
        <w:rPr>
          <w:lang w:val="ro-RO"/>
        </w:rPr>
        <w:t>i în valoare</w:t>
      </w:r>
      <w:r w:rsidRPr="00397382">
        <w:rPr>
          <w:lang w:val="ro-RO"/>
        </w:rPr>
        <w:t xml:space="preserve"> de</w:t>
      </w:r>
      <w:r w:rsidR="001E287A">
        <w:rPr>
          <w:lang w:val="ro-RO"/>
        </w:rPr>
        <w:t xml:space="preserve"> </w:t>
      </w:r>
      <w:r w:rsidRPr="00397382">
        <w:rPr>
          <w:lang w:val="ro-RO"/>
        </w:rPr>
        <w:t>17</w:t>
      </w:r>
      <w:r w:rsidR="00C73679">
        <w:rPr>
          <w:lang w:val="ro-RO"/>
        </w:rPr>
        <w:t> </w:t>
      </w:r>
      <w:r w:rsidRPr="00397382">
        <w:rPr>
          <w:lang w:val="ro-RO"/>
        </w:rPr>
        <w:t>155</w:t>
      </w:r>
      <w:r w:rsidR="00C73679">
        <w:rPr>
          <w:lang w:val="ro-RO"/>
        </w:rPr>
        <w:t>.</w:t>
      </w:r>
      <w:r w:rsidRPr="00397382">
        <w:rPr>
          <w:lang w:val="ro-RO"/>
        </w:rPr>
        <w:t>6</w:t>
      </w:r>
      <w:r w:rsidR="00C73679">
        <w:rPr>
          <w:lang w:val="ro-RO"/>
        </w:rPr>
        <w:t>0</w:t>
      </w:r>
      <w:r w:rsidRPr="00397382">
        <w:rPr>
          <w:lang w:val="ro-RO"/>
        </w:rPr>
        <w:t xml:space="preserve"> lei</w:t>
      </w:r>
      <w:r w:rsidR="00B218CE">
        <w:rPr>
          <w:lang w:val="ro-RO"/>
        </w:rPr>
        <w:t>,</w:t>
      </w:r>
      <w:r w:rsidRPr="00397382">
        <w:rPr>
          <w:lang w:val="ro-RO"/>
        </w:rPr>
        <w:t xml:space="preserve"> direct proporțională cu </w:t>
      </w:r>
      <w:r w:rsidR="002966AA">
        <w:rPr>
          <w:lang w:val="ro-RO"/>
        </w:rPr>
        <w:t>acţiunile</w:t>
      </w:r>
      <w:r w:rsidRPr="00397382">
        <w:rPr>
          <w:lang w:val="ro-RO"/>
        </w:rPr>
        <w:t xml:space="preserve"> deținut</w:t>
      </w:r>
      <w:r w:rsidR="002966AA">
        <w:rPr>
          <w:lang w:val="ro-RO"/>
        </w:rPr>
        <w:t>e</w:t>
      </w:r>
      <w:r w:rsidRPr="00397382">
        <w:rPr>
          <w:lang w:val="ro-RO"/>
        </w:rPr>
        <w:t xml:space="preserve"> în  SA </w:t>
      </w:r>
      <w:r w:rsidR="005C5A42" w:rsidRPr="00397382">
        <w:rPr>
          <w:lang w:val="ro-RO"/>
        </w:rPr>
        <w:t>„</w:t>
      </w:r>
      <w:r w:rsidRPr="00397382">
        <w:rPr>
          <w:lang w:val="ro-RO"/>
        </w:rPr>
        <w:t>Servicii Salubrizare Florești</w:t>
      </w:r>
      <w:r w:rsidR="005C5A42" w:rsidRPr="00397382">
        <w:rPr>
          <w:lang w:val="ro-RO"/>
        </w:rPr>
        <w:t>”</w:t>
      </w:r>
      <w:r w:rsidRPr="00397382">
        <w:rPr>
          <w:lang w:val="ro-RO"/>
        </w:rPr>
        <w:t>.</w:t>
      </w:r>
    </w:p>
    <w:p w:rsidR="00C87113" w:rsidRPr="00561EE2" w:rsidRDefault="00C87113" w:rsidP="00C87113">
      <w:pPr>
        <w:pStyle w:val="Implicit"/>
        <w:spacing w:line="240" w:lineRule="auto"/>
        <w:jc w:val="both"/>
        <w:rPr>
          <w:rFonts w:ascii="Times New Roman" w:hAnsi="Times New Roman"/>
          <w:b/>
          <w:lang w:val="ro-RO"/>
        </w:rPr>
      </w:pPr>
    </w:p>
    <w:p w:rsidR="00C87113" w:rsidRPr="00561EE2" w:rsidRDefault="00C87113" w:rsidP="00C87113">
      <w:pPr>
        <w:pStyle w:val="Implicit"/>
        <w:spacing w:line="240" w:lineRule="auto"/>
        <w:rPr>
          <w:rFonts w:ascii="Times New Roman" w:hAnsi="Times New Roman"/>
          <w:b/>
          <w:lang w:val="ro-RO"/>
        </w:rPr>
      </w:pPr>
      <w:r w:rsidRPr="00561EE2">
        <w:rPr>
          <w:rFonts w:ascii="Times New Roman" w:hAnsi="Times New Roman"/>
          <w:b/>
          <w:lang w:val="ro-RO"/>
        </w:rPr>
        <w:t>Preşedintele şedinţei</w:t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 w:rsidRPr="00561EE2">
        <w:rPr>
          <w:rFonts w:ascii="Times New Roman" w:hAnsi="Times New Roman"/>
          <w:b/>
          <w:lang w:val="ro-RO"/>
        </w:rPr>
        <w:t xml:space="preserve">                                                       </w:t>
      </w:r>
    </w:p>
    <w:p w:rsidR="00C87113" w:rsidRPr="00561EE2" w:rsidRDefault="00C87113" w:rsidP="00C87113">
      <w:pPr>
        <w:pStyle w:val="Implicit"/>
        <w:spacing w:line="240" w:lineRule="auto"/>
        <w:rPr>
          <w:rFonts w:ascii="Times New Roman" w:hAnsi="Times New Roman"/>
          <w:b/>
          <w:lang w:val="ro-RO"/>
        </w:rPr>
      </w:pPr>
    </w:p>
    <w:p w:rsidR="00C87113" w:rsidRPr="00561EE2" w:rsidRDefault="00C87113" w:rsidP="00C87113">
      <w:pPr>
        <w:pStyle w:val="Implicit"/>
        <w:spacing w:line="240" w:lineRule="auto"/>
        <w:rPr>
          <w:rFonts w:ascii="Times New Roman" w:hAnsi="Times New Roman"/>
          <w:b/>
          <w:lang w:val="ro-RO"/>
        </w:rPr>
      </w:pPr>
      <w:r w:rsidRPr="00561EE2">
        <w:rPr>
          <w:rFonts w:ascii="Times New Roman" w:hAnsi="Times New Roman"/>
          <w:b/>
          <w:lang w:val="ro-RO"/>
        </w:rPr>
        <w:t xml:space="preserve">Contrasemnat:     </w:t>
      </w:r>
    </w:p>
    <w:p w:rsidR="003C1B3C" w:rsidRDefault="003C1B3C" w:rsidP="00C87113">
      <w:pPr>
        <w:pStyle w:val="Implicit"/>
        <w:spacing w:line="240" w:lineRule="auto"/>
        <w:rPr>
          <w:rFonts w:ascii="Times New Roman" w:hAnsi="Times New Roman"/>
          <w:b/>
          <w:color w:val="000000"/>
          <w:lang w:val="ro-RO"/>
        </w:rPr>
      </w:pPr>
      <w:r>
        <w:rPr>
          <w:rFonts w:ascii="Times New Roman" w:hAnsi="Times New Roman"/>
          <w:b/>
          <w:color w:val="000000"/>
          <w:lang w:val="ro-RO"/>
        </w:rPr>
        <w:tab/>
      </w:r>
      <w:r w:rsidR="00C87113" w:rsidRPr="00561EE2">
        <w:rPr>
          <w:rFonts w:ascii="Times New Roman" w:hAnsi="Times New Roman"/>
          <w:b/>
          <w:color w:val="000000"/>
          <w:lang w:val="ro-RO"/>
        </w:rPr>
        <w:t>Secretarul</w:t>
      </w:r>
      <w:r w:rsidR="00C87113">
        <w:rPr>
          <w:rFonts w:ascii="Times New Roman" w:hAnsi="Times New Roman"/>
          <w:b/>
          <w:color w:val="000000"/>
          <w:lang w:val="ro-RO"/>
        </w:rPr>
        <w:t xml:space="preserve"> </w:t>
      </w:r>
    </w:p>
    <w:p w:rsidR="00C87113" w:rsidRPr="00561EE2" w:rsidRDefault="00C87113" w:rsidP="00C87113">
      <w:pPr>
        <w:pStyle w:val="Implicit"/>
        <w:spacing w:line="240" w:lineRule="auto"/>
        <w:rPr>
          <w:rFonts w:ascii="Times New Roman" w:hAnsi="Times New Roman"/>
          <w:b/>
          <w:color w:val="000000"/>
          <w:lang w:val="ro-RO"/>
        </w:rPr>
      </w:pPr>
      <w:r w:rsidRPr="00561EE2">
        <w:rPr>
          <w:rFonts w:ascii="Times New Roman" w:hAnsi="Times New Roman"/>
          <w:b/>
          <w:color w:val="000000"/>
          <w:lang w:val="ro-RO"/>
        </w:rPr>
        <w:t>Consiliului raiona</w:t>
      </w:r>
      <w:r>
        <w:rPr>
          <w:rFonts w:ascii="Times New Roman" w:hAnsi="Times New Roman"/>
          <w:b/>
          <w:color w:val="000000"/>
          <w:lang w:val="ro-RO"/>
        </w:rPr>
        <w:t>l Floreşti</w:t>
      </w:r>
      <w:r w:rsidRPr="00561EE2">
        <w:rPr>
          <w:rFonts w:ascii="Times New Roman" w:hAnsi="Times New Roman"/>
          <w:b/>
          <w:color w:val="000000"/>
          <w:lang w:val="ro-RO"/>
        </w:rPr>
        <w:t xml:space="preserve">                                            </w:t>
      </w:r>
      <w:r w:rsidRPr="00561EE2">
        <w:rPr>
          <w:rFonts w:ascii="Times New Roman" w:hAnsi="Times New Roman"/>
          <w:b/>
          <w:color w:val="000000"/>
          <w:lang w:val="ro-RO"/>
        </w:rPr>
        <w:tab/>
      </w:r>
      <w:r w:rsidRPr="00561EE2">
        <w:rPr>
          <w:rFonts w:ascii="Times New Roman" w:hAnsi="Times New Roman"/>
          <w:b/>
          <w:color w:val="000000"/>
          <w:lang w:val="ro-RO"/>
        </w:rPr>
        <w:tab/>
      </w:r>
      <w:r w:rsidRPr="00561EE2">
        <w:rPr>
          <w:rFonts w:ascii="Times New Roman" w:hAnsi="Times New Roman"/>
          <w:b/>
          <w:color w:val="000000"/>
          <w:lang w:val="ro-RO"/>
        </w:rPr>
        <w:tab/>
      </w:r>
    </w:p>
    <w:p w:rsidR="00C87113" w:rsidRDefault="00C87113" w:rsidP="00C87113">
      <w:pPr>
        <w:jc w:val="both"/>
        <w:rPr>
          <w:lang w:val="ro-RO"/>
        </w:rPr>
      </w:pPr>
    </w:p>
    <w:p w:rsidR="00C87113" w:rsidRPr="002E7AC1" w:rsidRDefault="00C87113" w:rsidP="00C87113">
      <w:pPr>
        <w:jc w:val="both"/>
        <w:rPr>
          <w:lang w:val="ro-RO"/>
        </w:rPr>
      </w:pPr>
      <w:r w:rsidRPr="002E7AC1">
        <w:rPr>
          <w:lang w:val="ro-RO"/>
        </w:rPr>
        <w:t>Coordonat:</w:t>
      </w:r>
      <w:r w:rsidRPr="002E7AC1">
        <w:rPr>
          <w:lang w:val="ro-RO"/>
        </w:rPr>
        <w:tab/>
      </w:r>
      <w:r w:rsidRPr="002E7AC1">
        <w:rPr>
          <w:b/>
          <w:lang w:val="ro-RO"/>
        </w:rPr>
        <w:tab/>
      </w:r>
      <w:r w:rsidRPr="002E7AC1">
        <w:rPr>
          <w:b/>
          <w:lang w:val="ro-RO"/>
        </w:rPr>
        <w:tab/>
      </w:r>
      <w:r w:rsidRPr="002E7AC1">
        <w:rPr>
          <w:b/>
          <w:lang w:val="ro-RO"/>
        </w:rPr>
        <w:tab/>
      </w:r>
      <w:r w:rsidRPr="002E7AC1">
        <w:rPr>
          <w:b/>
          <w:lang w:val="ro-RO"/>
        </w:rPr>
        <w:tab/>
        <w:t xml:space="preserve">            </w:t>
      </w:r>
      <w:r w:rsidRPr="002E7AC1">
        <w:rPr>
          <w:b/>
          <w:lang w:val="ro-RO"/>
        </w:rPr>
        <w:tab/>
      </w:r>
      <w:r w:rsidRPr="002E7AC1">
        <w:rPr>
          <w:lang w:val="ro-RO"/>
        </w:rPr>
        <w:t xml:space="preserve">Vrej </w:t>
      </w:r>
      <w:proofErr w:type="spellStart"/>
      <w:r w:rsidRPr="002E7AC1">
        <w:rPr>
          <w:lang w:val="ro-RO"/>
        </w:rPr>
        <w:t>Martirosian</w:t>
      </w:r>
      <w:proofErr w:type="spellEnd"/>
      <w:r w:rsidRPr="002E7AC1">
        <w:rPr>
          <w:lang w:val="ro-RO"/>
        </w:rPr>
        <w:t>,</w:t>
      </w:r>
    </w:p>
    <w:p w:rsidR="00C87113" w:rsidRDefault="00C87113" w:rsidP="00C87113">
      <w:pPr>
        <w:jc w:val="both"/>
        <w:rPr>
          <w:lang w:val="ro-RO"/>
        </w:rPr>
      </w:pPr>
      <w:r w:rsidRPr="002E7AC1">
        <w:rPr>
          <w:b/>
          <w:lang w:val="ro-RO"/>
        </w:rPr>
        <w:tab/>
        <w:t xml:space="preserve">                                                          </w:t>
      </w:r>
      <w:r w:rsidRPr="002E7AC1">
        <w:rPr>
          <w:b/>
          <w:lang w:val="ro-RO"/>
        </w:rPr>
        <w:tab/>
      </w:r>
      <w:r w:rsidRPr="002E7AC1">
        <w:rPr>
          <w:b/>
          <w:lang w:val="ro-RO"/>
        </w:rPr>
        <w:tab/>
      </w:r>
      <w:r w:rsidRPr="002E7AC1">
        <w:rPr>
          <w:lang w:val="ro-RO"/>
        </w:rPr>
        <w:t xml:space="preserve">vicepreședinte al raionului Florești  </w:t>
      </w:r>
    </w:p>
    <w:p w:rsidR="00C87113" w:rsidRPr="002E7AC1" w:rsidRDefault="00C87113" w:rsidP="00C87113">
      <w:pPr>
        <w:jc w:val="both"/>
        <w:rPr>
          <w:b/>
          <w:lang w:val="ro-RO"/>
        </w:rPr>
      </w:pPr>
      <w:r w:rsidRPr="002E7AC1">
        <w:rPr>
          <w:lang w:val="ro-RO"/>
        </w:rPr>
        <w:t xml:space="preserve">  </w:t>
      </w:r>
    </w:p>
    <w:p w:rsidR="00C87113" w:rsidRPr="002E7AC1" w:rsidRDefault="00C87113" w:rsidP="00C87113">
      <w:pPr>
        <w:jc w:val="both"/>
        <w:rPr>
          <w:b/>
          <w:lang w:val="ro-RO"/>
        </w:rPr>
      </w:pPr>
      <w:r w:rsidRPr="002E7AC1">
        <w:rPr>
          <w:lang w:val="ro-RO"/>
        </w:rPr>
        <w:t>Elaborat:</w:t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  <w:t>Natalia Bogdan,</w:t>
      </w:r>
    </w:p>
    <w:p w:rsidR="00C87113" w:rsidRPr="002E7AC1" w:rsidRDefault="00C87113" w:rsidP="00C87113">
      <w:pPr>
        <w:rPr>
          <w:lang w:val="ro-RO"/>
        </w:rPr>
      </w:pPr>
      <w:r w:rsidRPr="002E7AC1">
        <w:rPr>
          <w:lang w:val="ro-RO"/>
        </w:rPr>
        <w:t xml:space="preserve">                                                              şefă, Direcţia Economie, Achiziții şi Atragerea Investiţiilor</w:t>
      </w:r>
    </w:p>
    <w:p w:rsidR="00C87113" w:rsidRPr="002E7AC1" w:rsidRDefault="00C87113" w:rsidP="00C87113">
      <w:pPr>
        <w:rPr>
          <w:lang w:val="ro-RO"/>
        </w:rPr>
      </w:pPr>
      <w:r w:rsidRPr="002E7AC1">
        <w:rPr>
          <w:lang w:val="ro-RO"/>
        </w:rPr>
        <w:t>Elaborat şi avizat:</w:t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  <w:t>Daniel Turculeţ,</w:t>
      </w:r>
    </w:p>
    <w:p w:rsidR="00C87113" w:rsidRPr="002E7AC1" w:rsidRDefault="00C87113" w:rsidP="00C87113">
      <w:pPr>
        <w:rPr>
          <w:lang w:val="ro-RO"/>
        </w:rPr>
      </w:pP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</w:r>
      <w:r w:rsidRPr="002E7AC1">
        <w:rPr>
          <w:lang w:val="ro-RO"/>
        </w:rPr>
        <w:tab/>
        <w:t>secretarul Consiliului raional Floreşti</w:t>
      </w:r>
    </w:p>
    <w:p w:rsidR="00C87113" w:rsidRPr="002E7AC1" w:rsidRDefault="00C87113" w:rsidP="00C87113">
      <w:pPr>
        <w:widowControl w:val="0"/>
        <w:rPr>
          <w:rFonts w:eastAsia="Calibri"/>
          <w:lang w:val="en-US"/>
        </w:rPr>
      </w:pPr>
      <w:r w:rsidRPr="002E7AC1">
        <w:rPr>
          <w:rFonts w:eastAsia="Calibri"/>
          <w:lang w:val="ro-RO"/>
        </w:rPr>
        <w:t>Avizat:</w:t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</w:r>
      <w:r w:rsidRPr="002E7AC1">
        <w:rPr>
          <w:rFonts w:eastAsia="Calibri"/>
          <w:lang w:val="ro-RO"/>
        </w:rPr>
        <w:tab/>
        <w:t>Anton Daniela</w:t>
      </w:r>
      <w:r w:rsidRPr="002E7AC1">
        <w:rPr>
          <w:rFonts w:eastAsia="Calibri"/>
          <w:lang w:val="en-US"/>
        </w:rPr>
        <w:t>,</w:t>
      </w:r>
    </w:p>
    <w:p w:rsidR="00C87113" w:rsidRPr="00C87113" w:rsidRDefault="00C87113" w:rsidP="00C87113">
      <w:pPr>
        <w:rPr>
          <w:lang w:val="en-US"/>
        </w:rPr>
      </w:pPr>
      <w:r w:rsidRPr="002E7AC1">
        <w:rPr>
          <w:lang w:val="en-US"/>
        </w:rPr>
        <w:tab/>
        <w:t xml:space="preserve">                             </w:t>
      </w:r>
      <w:r>
        <w:rPr>
          <w:lang w:val="ro-RO"/>
        </w:rPr>
        <w:t>şef secție</w:t>
      </w:r>
      <w:r w:rsidRPr="002E7AC1">
        <w:rPr>
          <w:lang w:val="ro-RO"/>
        </w:rPr>
        <w:t>,</w:t>
      </w:r>
      <w:r w:rsidRPr="002E7AC1">
        <w:rPr>
          <w:lang w:val="en-US"/>
        </w:rPr>
        <w:t xml:space="preserve"> </w:t>
      </w:r>
      <w:proofErr w:type="spellStart"/>
      <w:r w:rsidRPr="002E7AC1">
        <w:rPr>
          <w:lang w:val="en-US"/>
        </w:rPr>
        <w:t>Secția</w:t>
      </w:r>
      <w:proofErr w:type="spellEnd"/>
      <w:r w:rsidRPr="002E7AC1">
        <w:rPr>
          <w:lang w:val="en-US"/>
        </w:rPr>
        <w:t xml:space="preserve">  </w:t>
      </w:r>
      <w:proofErr w:type="spellStart"/>
      <w:r w:rsidRPr="002E7AC1">
        <w:rPr>
          <w:lang w:val="en-US"/>
        </w:rPr>
        <w:t>Juridică</w:t>
      </w:r>
      <w:proofErr w:type="spellEnd"/>
      <w:r w:rsidRPr="002E7AC1">
        <w:rPr>
          <w:lang w:val="en-US"/>
        </w:rPr>
        <w:t xml:space="preserve">, </w:t>
      </w:r>
      <w:proofErr w:type="spellStart"/>
      <w:r w:rsidRPr="002E7AC1">
        <w:rPr>
          <w:lang w:val="en-US"/>
        </w:rPr>
        <w:t>Resurse</w:t>
      </w:r>
      <w:proofErr w:type="spellEnd"/>
      <w:r w:rsidRPr="002E7AC1">
        <w:rPr>
          <w:lang w:val="en-US"/>
        </w:rPr>
        <w:t xml:space="preserve"> </w:t>
      </w:r>
      <w:proofErr w:type="spellStart"/>
      <w:r w:rsidRPr="002E7AC1">
        <w:rPr>
          <w:lang w:val="en-US"/>
        </w:rPr>
        <w:t>Umane</w:t>
      </w:r>
      <w:proofErr w:type="spellEnd"/>
      <w:r w:rsidRPr="002E7AC1">
        <w:rPr>
          <w:lang w:val="en-US"/>
        </w:rPr>
        <w:t xml:space="preserve"> </w:t>
      </w:r>
      <w:proofErr w:type="spellStart"/>
      <w:r w:rsidRPr="002E7AC1">
        <w:rPr>
          <w:lang w:val="en-US"/>
        </w:rPr>
        <w:t>și</w:t>
      </w:r>
      <w:proofErr w:type="spellEnd"/>
      <w:r w:rsidRPr="002E7AC1">
        <w:rPr>
          <w:lang w:val="en-US"/>
        </w:rPr>
        <w:t xml:space="preserve"> </w:t>
      </w:r>
      <w:proofErr w:type="spellStart"/>
      <w:r w:rsidRPr="002E7AC1">
        <w:rPr>
          <w:lang w:val="en-US"/>
        </w:rPr>
        <w:t>Administrație</w:t>
      </w:r>
      <w:proofErr w:type="spellEnd"/>
      <w:r w:rsidRPr="002E7AC1">
        <w:rPr>
          <w:lang w:val="en-US"/>
        </w:rPr>
        <w:t xml:space="preserve"> </w:t>
      </w:r>
      <w:proofErr w:type="spellStart"/>
      <w:r w:rsidRPr="002E7AC1">
        <w:rPr>
          <w:lang w:val="en-US"/>
        </w:rPr>
        <w:t>Publică</w:t>
      </w:r>
      <w:proofErr w:type="spellEnd"/>
    </w:p>
    <w:p w:rsidR="001F3A1B" w:rsidRDefault="001F3A1B" w:rsidP="001548EC">
      <w:pPr>
        <w:jc w:val="both"/>
        <w:rPr>
          <w:lang w:val="ro-RO"/>
        </w:rPr>
      </w:pPr>
    </w:p>
    <w:p w:rsidR="005C5A42" w:rsidRDefault="005C5A42" w:rsidP="001548EC">
      <w:pPr>
        <w:jc w:val="both"/>
        <w:rPr>
          <w:lang w:val="ro-RO"/>
        </w:rPr>
      </w:pPr>
    </w:p>
    <w:p w:rsidR="008B14FD" w:rsidRDefault="008B14FD" w:rsidP="005C5A42">
      <w:pPr>
        <w:jc w:val="right"/>
        <w:rPr>
          <w:rFonts w:eastAsia="Calibri"/>
          <w:bCs/>
          <w:color w:val="000000"/>
          <w:lang w:val="ro-RO"/>
        </w:rPr>
      </w:pPr>
    </w:p>
    <w:p w:rsidR="005C5A42" w:rsidRPr="004F5A32" w:rsidRDefault="005C5A42" w:rsidP="005C5A42">
      <w:pPr>
        <w:jc w:val="right"/>
        <w:rPr>
          <w:rFonts w:eastAsia="Calibri"/>
          <w:bCs/>
          <w:color w:val="000000"/>
          <w:lang w:val="ro-RO"/>
        </w:rPr>
      </w:pPr>
      <w:r w:rsidRPr="004F5A32">
        <w:rPr>
          <w:rFonts w:eastAsia="Calibri"/>
          <w:bCs/>
          <w:color w:val="000000"/>
          <w:lang w:val="ro-RO"/>
        </w:rPr>
        <w:t>Consiliului raional Floreşti</w:t>
      </w:r>
    </w:p>
    <w:p w:rsidR="005C5A42" w:rsidRPr="004F5A32" w:rsidRDefault="005C5A42" w:rsidP="005C5A42">
      <w:pPr>
        <w:rPr>
          <w:b/>
          <w:lang w:val="ro-RO"/>
        </w:rPr>
      </w:pPr>
    </w:p>
    <w:p w:rsidR="005C5A42" w:rsidRPr="004F5A32" w:rsidRDefault="005C5A42" w:rsidP="00D56C48">
      <w:pPr>
        <w:jc w:val="center"/>
        <w:rPr>
          <w:b/>
          <w:lang w:val="ro-RO"/>
        </w:rPr>
      </w:pPr>
      <w:r w:rsidRPr="004F5A32">
        <w:rPr>
          <w:b/>
          <w:lang w:val="ro-RO"/>
        </w:rPr>
        <w:t>Notă de fundamentare</w:t>
      </w:r>
    </w:p>
    <w:p w:rsidR="005C5A42" w:rsidRPr="005C5A42" w:rsidRDefault="005C5A42" w:rsidP="00D56C48">
      <w:pPr>
        <w:jc w:val="center"/>
        <w:rPr>
          <w:b/>
          <w:bCs/>
          <w:lang w:val="ro-RO"/>
        </w:rPr>
      </w:pPr>
      <w:r w:rsidRPr="004F5A32">
        <w:rPr>
          <w:b/>
          <w:lang w:val="ro-RO"/>
        </w:rPr>
        <w:t xml:space="preserve">la proiectul de decizie </w:t>
      </w:r>
      <w:r>
        <w:rPr>
          <w:lang w:val="ro-RO"/>
        </w:rPr>
        <w:t xml:space="preserve"> </w:t>
      </w:r>
      <w:r w:rsidRPr="005C5A42">
        <w:rPr>
          <w:b/>
          <w:bCs/>
          <w:lang w:val="ro-RO"/>
        </w:rPr>
        <w:t xml:space="preserve">„Cu privire la aprobarea </w:t>
      </w:r>
      <w:r w:rsidR="000D25DF">
        <w:rPr>
          <w:b/>
          <w:bCs/>
          <w:lang w:val="ro-RO"/>
        </w:rPr>
        <w:t xml:space="preserve">Declaraţiei </w:t>
      </w:r>
      <w:r w:rsidRPr="005C5A42">
        <w:rPr>
          <w:b/>
          <w:bCs/>
          <w:lang w:val="ro-RO"/>
        </w:rPr>
        <w:t>de Parteneriat</w:t>
      </w:r>
      <w:r>
        <w:rPr>
          <w:b/>
          <w:bCs/>
          <w:lang w:val="ro-RO"/>
        </w:rPr>
        <w:t xml:space="preserve"> </w:t>
      </w:r>
      <w:r w:rsidRPr="005C5A42">
        <w:rPr>
          <w:b/>
          <w:bCs/>
          <w:lang w:val="ro-RO"/>
        </w:rPr>
        <w:t>în cadrul proiectului „</w:t>
      </w:r>
      <w:proofErr w:type="spellStart"/>
      <w:r w:rsidRPr="005C5A42">
        <w:rPr>
          <w:b/>
          <w:bCs/>
          <w:lang w:val="ro-RO"/>
        </w:rPr>
        <w:t>Efiencientizarea</w:t>
      </w:r>
      <w:proofErr w:type="spellEnd"/>
      <w:r w:rsidRPr="005C5A42">
        <w:rPr>
          <w:b/>
          <w:bCs/>
          <w:lang w:val="ro-RO"/>
        </w:rPr>
        <w:t xml:space="preserve"> tehnică și tehnologică a serviciului public intercomunitar de management a deșeurilor menajere solide din raionul Florești” ”</w:t>
      </w:r>
    </w:p>
    <w:p w:rsidR="005C5A42" w:rsidRPr="005C5A42" w:rsidRDefault="005C5A42" w:rsidP="005C5A42">
      <w:pPr>
        <w:rPr>
          <w:b/>
          <w:bCs/>
          <w:lang w:val="ro-RO"/>
        </w:rPr>
      </w:pPr>
    </w:p>
    <w:p w:rsidR="005C5A42" w:rsidRPr="00666B25" w:rsidRDefault="005C5A42" w:rsidP="005C5A42">
      <w:pPr>
        <w:jc w:val="center"/>
        <w:rPr>
          <w:b/>
          <w:bCs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5C5A42" w:rsidRPr="008B14FD" w:rsidTr="00B10083">
        <w:trPr>
          <w:trHeight w:val="194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bCs/>
                <w:lang w:val="ro-RO"/>
              </w:rPr>
              <w:t xml:space="preserve">1. </w:t>
            </w:r>
            <w:proofErr w:type="spellStart"/>
            <w:r w:rsidRPr="00666B25">
              <w:rPr>
                <w:b/>
                <w:bCs/>
                <w:lang w:val="en-US"/>
              </w:rPr>
              <w:t>Denumirea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sau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numele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autorului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și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666B25">
              <w:rPr>
                <w:b/>
                <w:bCs/>
                <w:lang w:val="en-US"/>
              </w:rPr>
              <w:t>după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caz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, a/al </w:t>
            </w:r>
            <w:proofErr w:type="spellStart"/>
            <w:r w:rsidRPr="00666B25">
              <w:rPr>
                <w:b/>
                <w:bCs/>
                <w:lang w:val="en-US"/>
              </w:rPr>
              <w:t>participanților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666B25">
              <w:rPr>
                <w:b/>
                <w:bCs/>
                <w:lang w:val="en-US"/>
              </w:rPr>
              <w:t>elaborarea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proiectului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actului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5C5A42" w:rsidRPr="008B14FD" w:rsidTr="00B10083">
        <w:trPr>
          <w:trHeight w:val="209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lang w:val="ro-RO"/>
              </w:rPr>
            </w:pPr>
            <w:r w:rsidRPr="00666B25">
              <w:rPr>
                <w:lang w:val="ro-RO"/>
              </w:rPr>
              <w:t>Direcția Economie, Achiziţii  și Atragerea Investițiilor şi secretarul Consiliului raional Floreşti</w:t>
            </w:r>
          </w:p>
        </w:tc>
      </w:tr>
      <w:tr w:rsidR="005C5A42" w:rsidRPr="008B14FD" w:rsidTr="00B10083">
        <w:trPr>
          <w:trHeight w:val="241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bCs/>
                <w:lang w:val="ro-RO"/>
              </w:rPr>
              <w:t xml:space="preserve">2. </w:t>
            </w:r>
            <w:proofErr w:type="spellStart"/>
            <w:r w:rsidRPr="00666B25">
              <w:rPr>
                <w:b/>
                <w:lang w:val="en-US"/>
              </w:rPr>
              <w:t>Condiţiile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ce</w:t>
            </w:r>
            <w:proofErr w:type="spellEnd"/>
            <w:r w:rsidRPr="00666B25">
              <w:rPr>
                <w:b/>
                <w:lang w:val="en-US"/>
              </w:rPr>
              <w:t xml:space="preserve"> au </w:t>
            </w:r>
            <w:proofErr w:type="spellStart"/>
            <w:r w:rsidRPr="00666B25">
              <w:rPr>
                <w:b/>
                <w:lang w:val="en-US"/>
              </w:rPr>
              <w:t>impus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elaborarea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proiectului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actului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5C5A42" w:rsidRPr="008B14FD" w:rsidTr="00B10083">
        <w:trPr>
          <w:trHeight w:val="2057"/>
        </w:trPr>
        <w:tc>
          <w:tcPr>
            <w:tcW w:w="10632" w:type="dxa"/>
          </w:tcPr>
          <w:p w:rsidR="00D12397" w:rsidRDefault="005C5A42" w:rsidP="00D12397">
            <w:pPr>
              <w:jc w:val="both"/>
              <w:rPr>
                <w:lang w:val="ro-RO"/>
              </w:rPr>
            </w:pPr>
            <w:r w:rsidRPr="00666B25">
              <w:rPr>
                <w:lang w:val="ro-RO"/>
              </w:rPr>
              <w:t xml:space="preserve"> </w:t>
            </w:r>
            <w:r w:rsidRPr="00666B25">
              <w:rPr>
                <w:bCs/>
                <w:lang w:val="ro-RO"/>
              </w:rPr>
              <w:t>Proiectul de decizie</w:t>
            </w:r>
            <w:r w:rsidR="006A686E">
              <w:rPr>
                <w:lang w:val="ro-RO"/>
              </w:rPr>
              <w:t xml:space="preserve"> </w:t>
            </w:r>
            <w:r w:rsidRPr="00666B25">
              <w:rPr>
                <w:bCs/>
                <w:lang w:val="ro-RO"/>
              </w:rPr>
              <w:t>a fost elaborat urmare a</w:t>
            </w:r>
            <w:r w:rsidRPr="005C5A4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C5A42">
              <w:rPr>
                <w:rFonts w:eastAsia="Calibri"/>
                <w:lang w:val="en-US"/>
              </w:rPr>
              <w:t>demersului</w:t>
            </w:r>
            <w:proofErr w:type="spellEnd"/>
            <w:r w:rsidR="00397382">
              <w:rPr>
                <w:rFonts w:eastAsia="Calibri"/>
                <w:lang w:val="en-US"/>
              </w:rPr>
              <w:t xml:space="preserve"> </w:t>
            </w:r>
            <w:r w:rsidR="000E0E3F">
              <w:rPr>
                <w:lang w:val="ro-RO"/>
              </w:rPr>
              <w:t>dlui Vadim Ţugui, p</w:t>
            </w:r>
            <w:r w:rsidR="004D11EA">
              <w:rPr>
                <w:lang w:val="ro-RO"/>
              </w:rPr>
              <w:t>rimar al comunei Gura Camencii,</w:t>
            </w:r>
            <w:r w:rsidR="004D11EA" w:rsidRPr="00C73679">
              <w:rPr>
                <w:rFonts w:eastAsia="Calibri"/>
                <w:lang w:val="en-US"/>
              </w:rPr>
              <w:t xml:space="preserve"> </w:t>
            </w:r>
            <w:r w:rsidR="00397382" w:rsidRPr="00C73679">
              <w:rPr>
                <w:rFonts w:eastAsia="Calibri"/>
                <w:lang w:val="en-US"/>
              </w:rPr>
              <w:t>nr</w:t>
            </w:r>
            <w:r w:rsidR="006A686E">
              <w:rPr>
                <w:rFonts w:eastAsia="Calibri"/>
                <w:lang w:val="en-US"/>
              </w:rPr>
              <w:t>.</w:t>
            </w:r>
            <w:r w:rsidR="00C73679">
              <w:rPr>
                <w:rFonts w:eastAsia="Calibri"/>
                <w:lang w:val="en-US"/>
              </w:rPr>
              <w:t>57 din 10.03.2025</w:t>
            </w:r>
            <w:r w:rsidR="00397382">
              <w:rPr>
                <w:lang w:val="ro-RO"/>
              </w:rPr>
              <w:t>,</w:t>
            </w:r>
            <w:r w:rsidR="00F2634A">
              <w:rPr>
                <w:lang w:val="ro-RO"/>
              </w:rPr>
              <w:t xml:space="preserve"> în calitate de </w:t>
            </w:r>
            <w:proofErr w:type="spellStart"/>
            <w:r w:rsidR="00086003">
              <w:rPr>
                <w:lang w:val="ro-RO"/>
              </w:rPr>
              <w:t>a</w:t>
            </w:r>
            <w:r w:rsidR="00397382">
              <w:rPr>
                <w:lang w:val="ro-RO"/>
              </w:rPr>
              <w:t>plicant</w:t>
            </w:r>
            <w:proofErr w:type="spellEnd"/>
            <w:r w:rsidR="00397382">
              <w:rPr>
                <w:lang w:val="ro-RO"/>
              </w:rPr>
              <w:t xml:space="preserve"> în cadrul proiectului „</w:t>
            </w:r>
            <w:proofErr w:type="spellStart"/>
            <w:r w:rsidR="00397382">
              <w:rPr>
                <w:lang w:val="ro-RO"/>
              </w:rPr>
              <w:t>Efiencientizarea</w:t>
            </w:r>
            <w:proofErr w:type="spellEnd"/>
            <w:r w:rsidR="00397382">
              <w:rPr>
                <w:lang w:val="ro-RO"/>
              </w:rPr>
              <w:t xml:space="preserve"> tehnică și tehnologică a serviciului public intercomunitar de management a deșeurilor menajere solide din raionul Florești”</w:t>
            </w:r>
            <w:r w:rsidR="00086003">
              <w:rPr>
                <w:lang w:val="ro-RO"/>
              </w:rPr>
              <w:t>,</w:t>
            </w:r>
            <w:r w:rsidR="00397382">
              <w:rPr>
                <w:lang w:val="ro-RO"/>
              </w:rPr>
              <w:t xml:space="preserve"> </w:t>
            </w:r>
            <w:r w:rsidR="006C5C04">
              <w:rPr>
                <w:lang w:val="ro-RO"/>
              </w:rPr>
              <w:t xml:space="preserve">în scopul </w:t>
            </w:r>
            <w:r w:rsidR="00D12397" w:rsidRPr="00397382">
              <w:rPr>
                <w:lang w:val="ro-RO"/>
              </w:rPr>
              <w:t>aprobă</w:t>
            </w:r>
            <w:r w:rsidR="00D12397">
              <w:rPr>
                <w:lang w:val="ro-RO"/>
              </w:rPr>
              <w:t>rii</w:t>
            </w:r>
            <w:r w:rsidR="00D12397" w:rsidRPr="00397382">
              <w:rPr>
                <w:lang w:val="ro-RO"/>
              </w:rPr>
              <w:t xml:space="preserve"> </w:t>
            </w:r>
            <w:r w:rsidR="00D12397">
              <w:rPr>
                <w:lang w:val="ro-RO"/>
              </w:rPr>
              <w:t>Declaraţiei de Pa</w:t>
            </w:r>
            <w:r w:rsidR="00D12397" w:rsidRPr="00397382">
              <w:rPr>
                <w:lang w:val="ro-RO"/>
              </w:rPr>
              <w:t xml:space="preserve">rteneriat între Consiliul raional Florești și </w:t>
            </w:r>
            <w:r w:rsidR="00D12397" w:rsidRPr="00A05F97">
              <w:rPr>
                <w:lang w:val="ro-RO"/>
              </w:rPr>
              <w:t xml:space="preserve">autorităţile publice ale comunei Gura Camencii, raionul Floreşti, </w:t>
            </w:r>
            <w:r w:rsidR="00B77925">
              <w:rPr>
                <w:lang w:val="ro-RO"/>
              </w:rPr>
              <w:t>şi garantării contribuției</w:t>
            </w:r>
            <w:r w:rsidR="00B77925" w:rsidRPr="00A05F97">
              <w:rPr>
                <w:lang w:val="ro-RO"/>
              </w:rPr>
              <w:t xml:space="preserve"> </w:t>
            </w:r>
            <w:r w:rsidR="00B77925">
              <w:rPr>
                <w:lang w:val="ro-RO"/>
              </w:rPr>
              <w:t xml:space="preserve">în valoare </w:t>
            </w:r>
            <w:r w:rsidR="00B77925" w:rsidRPr="00A05F97">
              <w:rPr>
                <w:lang w:val="ro-RO"/>
              </w:rPr>
              <w:t>d</w:t>
            </w:r>
            <w:r w:rsidR="009D6DDF">
              <w:rPr>
                <w:lang w:val="ro-RO"/>
              </w:rPr>
              <w:t>e</w:t>
            </w:r>
            <w:r w:rsidR="00B77925" w:rsidRPr="00A05F97">
              <w:rPr>
                <w:lang w:val="ro-RO"/>
              </w:rPr>
              <w:t xml:space="preserve"> 17 155.60 lei, direct proporțională cu </w:t>
            </w:r>
            <w:r w:rsidR="00B77925">
              <w:rPr>
                <w:lang w:val="ro-RO"/>
              </w:rPr>
              <w:t>acţiunile</w:t>
            </w:r>
            <w:r w:rsidR="00B77925" w:rsidRPr="00A05F97">
              <w:rPr>
                <w:lang w:val="ro-RO"/>
              </w:rPr>
              <w:t xml:space="preserve"> deținut</w:t>
            </w:r>
            <w:r w:rsidR="00B77925">
              <w:rPr>
                <w:lang w:val="ro-RO"/>
              </w:rPr>
              <w:t>e</w:t>
            </w:r>
            <w:r w:rsidR="00B77925" w:rsidRPr="00A05F97">
              <w:rPr>
                <w:lang w:val="ro-RO"/>
              </w:rPr>
              <w:t xml:space="preserve"> </w:t>
            </w:r>
            <w:r w:rsidR="00F716BD">
              <w:rPr>
                <w:lang w:val="ro-RO"/>
              </w:rPr>
              <w:t xml:space="preserve">de către </w:t>
            </w:r>
            <w:r w:rsidR="00F716BD" w:rsidRPr="00397382">
              <w:rPr>
                <w:lang w:val="ro-RO"/>
              </w:rPr>
              <w:t xml:space="preserve">Consiliul raional Florești </w:t>
            </w:r>
            <w:r w:rsidR="00B77925" w:rsidRPr="00A05F97">
              <w:rPr>
                <w:lang w:val="ro-RO"/>
              </w:rPr>
              <w:t>în SA „Servicii Salubrizare Florești”</w:t>
            </w:r>
            <w:r w:rsidR="009D6DDF">
              <w:rPr>
                <w:lang w:val="ro-RO"/>
              </w:rPr>
              <w:t xml:space="preserve">, </w:t>
            </w:r>
            <w:r w:rsidR="00D12397" w:rsidRPr="00A05F97">
              <w:rPr>
                <w:lang w:val="ro-RO"/>
              </w:rPr>
              <w:t xml:space="preserve">în cadrul proiectului </w:t>
            </w:r>
            <w:r w:rsidR="00D12397">
              <w:rPr>
                <w:lang w:val="ro-RO"/>
              </w:rPr>
              <w:t>menţionat.</w:t>
            </w:r>
          </w:p>
          <w:p w:rsidR="005C5A42" w:rsidRPr="005C5A42" w:rsidRDefault="003D3C93" w:rsidP="003D3C9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Scopul proiectului respectiv prevede </w:t>
            </w:r>
            <w:r w:rsidR="006C5C04">
              <w:rPr>
                <w:lang w:val="ro-RO"/>
              </w:rPr>
              <w:t>dezvolt</w:t>
            </w:r>
            <w:r>
              <w:rPr>
                <w:lang w:val="ro-RO"/>
              </w:rPr>
              <w:t>area</w:t>
            </w:r>
            <w:r w:rsidR="006C5C04">
              <w:rPr>
                <w:lang w:val="ro-RO"/>
              </w:rPr>
              <w:t xml:space="preserve"> creșterii eficienței serviciilor publice, a îmbunătățirii condițiilor de mediu și a optimizării gestionării deșeurilor menajere solide în raionul Florești</w:t>
            </w:r>
            <w:r>
              <w:rPr>
                <w:lang w:val="ro-RO"/>
              </w:rPr>
              <w:t>.</w:t>
            </w:r>
          </w:p>
        </w:tc>
      </w:tr>
      <w:tr w:rsidR="005C5A42" w:rsidRPr="008B14FD" w:rsidTr="005E4C94">
        <w:trPr>
          <w:trHeight w:val="96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lang w:val="en-US"/>
              </w:rPr>
            </w:pPr>
            <w:r w:rsidRPr="00666B25">
              <w:rPr>
                <w:b/>
                <w:lang w:val="en-US"/>
              </w:rPr>
              <w:t xml:space="preserve">2.1.Temeiul legal </w:t>
            </w:r>
            <w:proofErr w:type="spellStart"/>
            <w:r w:rsidRPr="00666B25">
              <w:rPr>
                <w:b/>
                <w:lang w:val="en-US"/>
              </w:rPr>
              <w:t>sau</w:t>
            </w:r>
            <w:proofErr w:type="spellEnd"/>
            <w:r w:rsidRPr="00666B25">
              <w:rPr>
                <w:b/>
                <w:lang w:val="en-US"/>
              </w:rPr>
              <w:t xml:space="preserve">, </w:t>
            </w:r>
            <w:proofErr w:type="spellStart"/>
            <w:r w:rsidRPr="00666B25">
              <w:rPr>
                <w:b/>
                <w:lang w:val="en-US"/>
              </w:rPr>
              <w:t>după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caz</w:t>
            </w:r>
            <w:proofErr w:type="spellEnd"/>
            <w:r w:rsidRPr="00666B25">
              <w:rPr>
                <w:b/>
                <w:lang w:val="en-US"/>
              </w:rPr>
              <w:t xml:space="preserve">, </w:t>
            </w:r>
            <w:proofErr w:type="spellStart"/>
            <w:r w:rsidRPr="00666B25">
              <w:rPr>
                <w:b/>
                <w:lang w:val="en-US"/>
              </w:rPr>
              <w:t>sursa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proiectului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actului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normativ</w:t>
            </w:r>
            <w:proofErr w:type="spellEnd"/>
          </w:p>
          <w:p w:rsidR="005C5A42" w:rsidRPr="00666B25" w:rsidRDefault="005C5A42" w:rsidP="00B10083">
            <w:pPr>
              <w:jc w:val="both"/>
              <w:rPr>
                <w:lang w:val="en-US"/>
              </w:rPr>
            </w:pPr>
            <w:proofErr w:type="spellStart"/>
            <w:r w:rsidRPr="00666B25">
              <w:rPr>
                <w:lang w:val="en-US"/>
              </w:rPr>
              <w:t>Proiectul</w:t>
            </w:r>
            <w:proofErr w:type="spellEnd"/>
            <w:r w:rsidRPr="00666B25">
              <w:rPr>
                <w:lang w:val="en-US"/>
              </w:rPr>
              <w:t xml:space="preserve"> de </w:t>
            </w:r>
            <w:proofErr w:type="spellStart"/>
            <w:r w:rsidRPr="00666B25">
              <w:rPr>
                <w:lang w:val="en-US"/>
              </w:rPr>
              <w:t>decizie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este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elaborat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în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temeiul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prevederilor</w:t>
            </w:r>
            <w:proofErr w:type="spellEnd"/>
            <w:r w:rsidRPr="00666B25">
              <w:rPr>
                <w:lang w:val="ro-RO"/>
              </w:rPr>
              <w:t xml:space="preserve"> art.43 alin.(1) </w:t>
            </w:r>
            <w:proofErr w:type="spellStart"/>
            <w:r w:rsidRPr="00666B25">
              <w:rPr>
                <w:lang w:val="ro-RO"/>
              </w:rPr>
              <w:t>lit.c</w:t>
            </w:r>
            <w:proofErr w:type="spellEnd"/>
            <w:r w:rsidRPr="00666B25">
              <w:rPr>
                <w:lang w:val="ro-RO"/>
              </w:rPr>
              <w:t>)</w:t>
            </w:r>
            <w:r w:rsidR="00B10083">
              <w:rPr>
                <w:lang w:val="ro-RO"/>
              </w:rPr>
              <w:t xml:space="preserve"> şi t)</w:t>
            </w:r>
            <w:r w:rsidRPr="00666B25">
              <w:rPr>
                <w:lang w:val="ro-RO"/>
              </w:rPr>
              <w:t>, art.46 alin.(1) şi art.53 alin.(1) lit.</w:t>
            </w:r>
            <w:r w:rsidRPr="00666B25">
              <w:rPr>
                <w:color w:val="333333"/>
                <w:shd w:val="clear" w:color="auto" w:fill="FFFFFF"/>
                <w:lang w:val="en-US"/>
              </w:rPr>
              <w:t>a</w:t>
            </w:r>
            <w:r w:rsidRPr="00666B25">
              <w:rPr>
                <w:color w:val="333333"/>
                <w:shd w:val="clear" w:color="auto" w:fill="FFFFFF"/>
                <w:vertAlign w:val="superscript"/>
                <w:lang w:val="en-US"/>
              </w:rPr>
              <w:t>1</w:t>
            </w:r>
            <w:r w:rsidRPr="00666B25">
              <w:rPr>
                <w:color w:val="333333"/>
                <w:shd w:val="clear" w:color="auto" w:fill="FFFFFF"/>
                <w:lang w:val="en-US"/>
              </w:rPr>
              <w:t>)</w:t>
            </w:r>
            <w:r w:rsidRPr="00666B25">
              <w:rPr>
                <w:lang w:val="ro-RO"/>
              </w:rPr>
              <w:t xml:space="preserve"> ale Legii nr.436/2006 privind administraţia publică locală</w:t>
            </w:r>
          </w:p>
        </w:tc>
      </w:tr>
      <w:tr w:rsidR="005C5A42" w:rsidRPr="00666B25" w:rsidTr="00B10083">
        <w:trPr>
          <w:trHeight w:val="923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lang w:val="en-US"/>
              </w:rPr>
            </w:pPr>
            <w:r w:rsidRPr="00666B25">
              <w:rPr>
                <w:b/>
                <w:lang w:val="en-US"/>
              </w:rPr>
              <w:t xml:space="preserve">2.2. </w:t>
            </w:r>
            <w:proofErr w:type="spellStart"/>
            <w:r w:rsidRPr="00666B25">
              <w:rPr>
                <w:b/>
                <w:lang w:val="en-US"/>
              </w:rPr>
              <w:t>Descrierea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situației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actuale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a </w:t>
            </w:r>
            <w:proofErr w:type="spellStart"/>
            <w:r w:rsidRPr="00666B25">
              <w:rPr>
                <w:b/>
                <w:lang w:val="en-US"/>
              </w:rPr>
              <w:t>problemelor</w:t>
            </w:r>
            <w:proofErr w:type="spellEnd"/>
            <w:r w:rsidRPr="00666B25">
              <w:rPr>
                <w:b/>
                <w:lang w:val="en-US"/>
              </w:rPr>
              <w:t xml:space="preserve"> care </w:t>
            </w:r>
            <w:proofErr w:type="spellStart"/>
            <w:r w:rsidRPr="00666B25">
              <w:rPr>
                <w:b/>
                <w:lang w:val="en-US"/>
              </w:rPr>
              <w:t>impun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intervenția</w:t>
            </w:r>
            <w:proofErr w:type="spellEnd"/>
            <w:r w:rsidRPr="00666B25">
              <w:rPr>
                <w:b/>
                <w:lang w:val="en-US"/>
              </w:rPr>
              <w:t xml:space="preserve">, </w:t>
            </w:r>
            <w:proofErr w:type="spellStart"/>
            <w:r w:rsidRPr="00666B25">
              <w:rPr>
                <w:b/>
                <w:lang w:val="en-US"/>
              </w:rPr>
              <w:t>inclusiv</w:t>
            </w:r>
            <w:proofErr w:type="spellEnd"/>
            <w:r w:rsidRPr="00666B25">
              <w:rPr>
                <w:b/>
                <w:lang w:val="en-US"/>
              </w:rPr>
              <w:t xml:space="preserve"> a </w:t>
            </w:r>
            <w:proofErr w:type="spellStart"/>
            <w:r w:rsidRPr="00666B25">
              <w:rPr>
                <w:b/>
                <w:lang w:val="en-US"/>
              </w:rPr>
              <w:t>cadrului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normativ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aplicabil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a </w:t>
            </w:r>
            <w:proofErr w:type="spellStart"/>
            <w:r w:rsidRPr="00666B25">
              <w:rPr>
                <w:b/>
                <w:lang w:val="en-US"/>
              </w:rPr>
              <w:t>deficiențelor</w:t>
            </w:r>
            <w:proofErr w:type="spellEnd"/>
            <w:r w:rsidRPr="00666B25">
              <w:rPr>
                <w:b/>
                <w:lang w:val="en-US"/>
              </w:rPr>
              <w:t>/</w:t>
            </w:r>
            <w:proofErr w:type="spellStart"/>
            <w:r w:rsidRPr="00666B25">
              <w:rPr>
                <w:b/>
                <w:lang w:val="en-US"/>
              </w:rPr>
              <w:t>lacunelor</w:t>
            </w:r>
            <w:proofErr w:type="spellEnd"/>
            <w:r w:rsidRPr="00666B25">
              <w:rPr>
                <w:b/>
                <w:lang w:val="en-US"/>
              </w:rPr>
              <w:t xml:space="preserve"> normative.</w:t>
            </w:r>
          </w:p>
          <w:p w:rsidR="005C5A42" w:rsidRPr="00666B25" w:rsidRDefault="005C5A42" w:rsidP="00FA7F78">
            <w:pPr>
              <w:rPr>
                <w:b/>
                <w:lang w:val="en-US"/>
              </w:rPr>
            </w:pPr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8B14FD" w:rsidTr="00B10083">
        <w:trPr>
          <w:trHeight w:val="413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lang w:val="en-US"/>
              </w:rPr>
            </w:pPr>
            <w:r w:rsidRPr="00666B25">
              <w:rPr>
                <w:b/>
                <w:lang w:val="en-US"/>
              </w:rPr>
              <w:t xml:space="preserve">3. </w:t>
            </w:r>
            <w:proofErr w:type="spellStart"/>
            <w:r w:rsidRPr="00666B25">
              <w:rPr>
                <w:b/>
                <w:lang w:val="en-US"/>
              </w:rPr>
              <w:t>Obiectivele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urmărite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soluțiile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propuse</w:t>
            </w:r>
            <w:proofErr w:type="spellEnd"/>
          </w:p>
        </w:tc>
      </w:tr>
      <w:tr w:rsidR="005C5A42" w:rsidRPr="008B14FD" w:rsidTr="00B10083">
        <w:trPr>
          <w:trHeight w:val="224"/>
        </w:trPr>
        <w:tc>
          <w:tcPr>
            <w:tcW w:w="10632" w:type="dxa"/>
            <w:tcBorders>
              <w:bottom w:val="single" w:sz="4" w:space="0" w:color="auto"/>
            </w:tcBorders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bCs/>
                <w:lang w:val="ro-RO"/>
              </w:rPr>
              <w:t>3.1. Principalele prevederi ale proiectului și evidența elementelor noi.</w:t>
            </w:r>
          </w:p>
        </w:tc>
      </w:tr>
      <w:tr w:rsidR="005C5A42" w:rsidRPr="008B14FD" w:rsidTr="00217B83">
        <w:trPr>
          <w:trHeight w:val="3156"/>
        </w:trPr>
        <w:tc>
          <w:tcPr>
            <w:tcW w:w="10632" w:type="dxa"/>
            <w:tcBorders>
              <w:bottom w:val="single" w:sz="4" w:space="0" w:color="auto"/>
            </w:tcBorders>
          </w:tcPr>
          <w:p w:rsidR="00F90996" w:rsidRPr="00F90996" w:rsidRDefault="00F90996" w:rsidP="00F90996">
            <w:pPr>
              <w:jc w:val="both"/>
              <w:rPr>
                <w:lang w:val="ro-RO"/>
              </w:rPr>
            </w:pPr>
            <w:r>
              <w:rPr>
                <w:lang w:val="en-US"/>
              </w:rPr>
              <w:t xml:space="preserve">1. </w:t>
            </w:r>
            <w:r w:rsidRPr="00F90996">
              <w:rPr>
                <w:lang w:val="ro-RO"/>
              </w:rPr>
              <w:t>Se aprobă Declaraţia de Parteneriat între Consiliul raional Florești și autorităţile publice ale comunei Gura Camencii, raionul Floreşti, în cadrul proiectului „Eficientizarea tehnică și tehnologică a serviciului public intercomunitar de management a deșeurilor menajere solide din raionul Florești” (se anexează).</w:t>
            </w:r>
          </w:p>
          <w:p w:rsidR="00F90996" w:rsidRPr="00F90996" w:rsidRDefault="00F90996" w:rsidP="00F909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2. </w:t>
            </w:r>
            <w:r w:rsidRPr="00F90996">
              <w:rPr>
                <w:lang w:val="ro-RO"/>
              </w:rPr>
              <w:t>Se garantează contribuția Consiliului raional Florești pentru proiectul „Eficientizarea tehnică și tehnologică a serviciului public intercomunitar de management a deșeurilor menajere solide din raionul Florești” în valoare de 17 155.60 lei, direct proporțională cu acţiunile deținute în SA „Servicii Salubrizare Florești”.</w:t>
            </w:r>
          </w:p>
          <w:p w:rsidR="005C5A42" w:rsidRPr="00F90996" w:rsidRDefault="00F90996" w:rsidP="00F909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3. </w:t>
            </w:r>
            <w:r w:rsidRPr="00F90996">
              <w:rPr>
                <w:lang w:val="ro-RO"/>
              </w:rPr>
              <w:t>Se împuternicește Președintele raionului Florești să semneze Declaraţia de Parteneriat între Consiliul raional Florești și Primăria comunei Gura Camencii raionul Florești</w:t>
            </w:r>
            <w:r w:rsidR="00B218CE">
              <w:rPr>
                <w:lang w:val="ro-RO"/>
              </w:rPr>
              <w:t>,</w:t>
            </w:r>
            <w:r w:rsidRPr="00F90996">
              <w:rPr>
                <w:lang w:val="ro-RO"/>
              </w:rPr>
              <w:t xml:space="preserve"> </w:t>
            </w:r>
            <w:r w:rsidR="00B218CE">
              <w:rPr>
                <w:lang w:val="ro-RO"/>
              </w:rPr>
              <w:t xml:space="preserve">precum </w:t>
            </w:r>
            <w:r w:rsidRPr="00F90996">
              <w:rPr>
                <w:lang w:val="ro-RO"/>
              </w:rPr>
              <w:t>și scrisoarea de confirmare a contribuției în valoare de 17 155.60 lei</w:t>
            </w:r>
            <w:r w:rsidR="00B218CE">
              <w:rPr>
                <w:lang w:val="ro-RO"/>
              </w:rPr>
              <w:t>,</w:t>
            </w:r>
            <w:r w:rsidRPr="00F90996">
              <w:rPr>
                <w:lang w:val="ro-RO"/>
              </w:rPr>
              <w:t xml:space="preserve"> direct proporțională cu acţiunile deținute în  SA „Servicii Salubrizare Florești”.</w:t>
            </w:r>
          </w:p>
        </w:tc>
      </w:tr>
      <w:tr w:rsidR="005C5A42" w:rsidRPr="00666B25" w:rsidTr="00217B83">
        <w:trPr>
          <w:trHeight w:val="565"/>
        </w:trPr>
        <w:tc>
          <w:tcPr>
            <w:tcW w:w="10632" w:type="dxa"/>
            <w:tcBorders>
              <w:bottom w:val="single" w:sz="4" w:space="0" w:color="auto"/>
            </w:tcBorders>
          </w:tcPr>
          <w:p w:rsidR="005C5A42" w:rsidRPr="00666B25" w:rsidRDefault="005C5A42" w:rsidP="00FA7F78">
            <w:pPr>
              <w:ind w:right="22"/>
              <w:jc w:val="both"/>
              <w:rPr>
                <w:b/>
                <w:lang w:val="en-US"/>
              </w:rPr>
            </w:pPr>
            <w:r w:rsidRPr="00666B25">
              <w:rPr>
                <w:b/>
                <w:lang w:val="en-US"/>
              </w:rPr>
              <w:t xml:space="preserve">3.2. </w:t>
            </w:r>
            <w:proofErr w:type="spellStart"/>
            <w:r w:rsidRPr="00666B25">
              <w:rPr>
                <w:b/>
                <w:lang w:val="en-US"/>
              </w:rPr>
              <w:t>Opțiunile</w:t>
            </w:r>
            <w:proofErr w:type="spellEnd"/>
            <w:r w:rsidRPr="00666B25">
              <w:rPr>
                <w:b/>
                <w:lang w:val="en-US"/>
              </w:rPr>
              <w:t xml:space="preserve"> alternative </w:t>
            </w:r>
            <w:proofErr w:type="spellStart"/>
            <w:r w:rsidRPr="00666B25">
              <w:rPr>
                <w:b/>
                <w:lang w:val="en-US"/>
              </w:rPr>
              <w:t>analizate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motivele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pentru</w:t>
            </w:r>
            <w:proofErr w:type="spellEnd"/>
            <w:r w:rsidRPr="00666B25">
              <w:rPr>
                <w:b/>
                <w:lang w:val="en-US"/>
              </w:rPr>
              <w:t xml:space="preserve"> care </w:t>
            </w:r>
            <w:proofErr w:type="spellStart"/>
            <w:r w:rsidRPr="00666B25">
              <w:rPr>
                <w:b/>
                <w:lang w:val="en-US"/>
              </w:rPr>
              <w:t>acestea</w:t>
            </w:r>
            <w:proofErr w:type="spellEnd"/>
            <w:r w:rsidRPr="00666B25">
              <w:rPr>
                <w:b/>
                <w:lang w:val="en-US"/>
              </w:rPr>
              <w:t xml:space="preserve"> nu au </w:t>
            </w:r>
            <w:proofErr w:type="spellStart"/>
            <w:r w:rsidRPr="00666B25">
              <w:rPr>
                <w:b/>
                <w:lang w:val="en-US"/>
              </w:rPr>
              <w:t>fost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luate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în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considerare</w:t>
            </w:r>
            <w:proofErr w:type="spellEnd"/>
          </w:p>
          <w:p w:rsidR="005C5A42" w:rsidRPr="00666B25" w:rsidRDefault="005C5A42" w:rsidP="00FA7F78">
            <w:pPr>
              <w:ind w:right="22"/>
              <w:jc w:val="both"/>
              <w:rPr>
                <w:color w:val="000000"/>
                <w:lang w:val="ro-RO"/>
              </w:rPr>
            </w:pPr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666B25" w:rsidTr="00B10083">
        <w:trPr>
          <w:trHeight w:val="27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lang w:val="ro-RO"/>
              </w:rPr>
            </w:pPr>
            <w:r w:rsidRPr="00666B25">
              <w:rPr>
                <w:b/>
                <w:bCs/>
                <w:lang w:val="ro-RO"/>
              </w:rPr>
              <w:t xml:space="preserve">4. </w:t>
            </w:r>
            <w:proofErr w:type="spellStart"/>
            <w:r w:rsidRPr="00666B25">
              <w:rPr>
                <w:b/>
                <w:bCs/>
              </w:rPr>
              <w:t>Analiza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impactului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de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reglementare</w:t>
            </w:r>
            <w:proofErr w:type="spellEnd"/>
          </w:p>
        </w:tc>
      </w:tr>
      <w:tr w:rsidR="005C5A42" w:rsidRPr="00666B25" w:rsidTr="00B10083">
        <w:trPr>
          <w:trHeight w:val="300"/>
        </w:trPr>
        <w:tc>
          <w:tcPr>
            <w:tcW w:w="10632" w:type="dxa"/>
          </w:tcPr>
          <w:p w:rsidR="005C5A42" w:rsidRPr="00666B25" w:rsidRDefault="005C5A42" w:rsidP="00FA7F78">
            <w:pPr>
              <w:pStyle w:val="a7"/>
              <w:numPr>
                <w:ilvl w:val="1"/>
                <w:numId w:val="1"/>
              </w:numPr>
              <w:rPr>
                <w:b/>
              </w:rPr>
            </w:pPr>
            <w:proofErr w:type="spellStart"/>
            <w:r w:rsidRPr="00666B25">
              <w:rPr>
                <w:b/>
              </w:rPr>
              <w:t>Impactul</w:t>
            </w:r>
            <w:proofErr w:type="spellEnd"/>
            <w:r w:rsidRPr="00666B25">
              <w:rPr>
                <w:b/>
              </w:rPr>
              <w:t xml:space="preserve"> </w:t>
            </w:r>
            <w:proofErr w:type="spellStart"/>
            <w:r w:rsidRPr="00666B25">
              <w:rPr>
                <w:b/>
              </w:rPr>
              <w:t>asupra</w:t>
            </w:r>
            <w:proofErr w:type="spellEnd"/>
            <w:r w:rsidRPr="00666B25">
              <w:rPr>
                <w:b/>
              </w:rPr>
              <w:t xml:space="preserve"> </w:t>
            </w:r>
            <w:proofErr w:type="spellStart"/>
            <w:r w:rsidRPr="00666B25">
              <w:rPr>
                <w:b/>
              </w:rPr>
              <w:t>sectorului</w:t>
            </w:r>
            <w:proofErr w:type="spellEnd"/>
            <w:r w:rsidRPr="00666B25">
              <w:rPr>
                <w:b/>
              </w:rPr>
              <w:t xml:space="preserve"> </w:t>
            </w:r>
            <w:proofErr w:type="spellStart"/>
            <w:r w:rsidRPr="00666B25">
              <w:rPr>
                <w:b/>
              </w:rPr>
              <w:t>public</w:t>
            </w:r>
            <w:proofErr w:type="spellEnd"/>
          </w:p>
        </w:tc>
      </w:tr>
      <w:tr w:rsidR="005C5A42" w:rsidRPr="008B14FD" w:rsidTr="00B10083">
        <w:trPr>
          <w:trHeight w:val="300"/>
        </w:trPr>
        <w:tc>
          <w:tcPr>
            <w:tcW w:w="10632" w:type="dxa"/>
          </w:tcPr>
          <w:p w:rsidR="005C5A42" w:rsidRPr="002655E0" w:rsidRDefault="002655E0" w:rsidP="00FA7F78">
            <w:pPr>
              <w:rPr>
                <w:bCs/>
                <w:lang w:val="en-US"/>
              </w:rPr>
            </w:pPr>
            <w:r>
              <w:rPr>
                <w:lang w:val="ro-RO"/>
              </w:rPr>
              <w:t>Dezvoltarea creșterii eficienței serviciilor publice, a îmbunătățirii condițiilor de mediu și a optimizării gestionării deșeurilor menajere solide în raionul Florești</w:t>
            </w:r>
          </w:p>
        </w:tc>
      </w:tr>
      <w:tr w:rsidR="005C5A42" w:rsidRPr="008B14FD" w:rsidTr="00B10083">
        <w:trPr>
          <w:trHeight w:val="24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lang w:val="en-US"/>
              </w:rPr>
              <w:t>4.2</w:t>
            </w:r>
            <w:r w:rsidRPr="00666B25">
              <w:rPr>
                <w:lang w:val="en-US"/>
              </w:rPr>
              <w:t xml:space="preserve">. </w:t>
            </w:r>
            <w:proofErr w:type="spellStart"/>
            <w:r w:rsidRPr="00666B25">
              <w:rPr>
                <w:b/>
                <w:lang w:val="en-US"/>
              </w:rPr>
              <w:t>Impactul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financiar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argumentarea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costurilor</w:t>
            </w:r>
            <w:proofErr w:type="spellEnd"/>
            <w:r w:rsidRPr="00666B25">
              <w:rPr>
                <w:b/>
                <w:lang w:val="en-US"/>
              </w:rPr>
              <w:t xml:space="preserve"> estimative</w:t>
            </w:r>
          </w:p>
        </w:tc>
      </w:tr>
      <w:tr w:rsidR="005C5A42" w:rsidRPr="008B14FD" w:rsidTr="00B10083">
        <w:trPr>
          <w:trHeight w:val="240"/>
        </w:trPr>
        <w:tc>
          <w:tcPr>
            <w:tcW w:w="10632" w:type="dxa"/>
          </w:tcPr>
          <w:p w:rsidR="005C5A42" w:rsidRPr="00666B25" w:rsidRDefault="00004289" w:rsidP="00BA04F5">
            <w:p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cazul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desemnării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cîştigătorului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menţionat</w:t>
            </w:r>
            <w:proofErr w:type="spellEnd"/>
            <w:r>
              <w:rPr>
                <w:lang w:val="en-US"/>
              </w:rPr>
              <w:t xml:space="preserve"> se g</w:t>
            </w:r>
            <w:proofErr w:type="spellStart"/>
            <w:r w:rsidR="009B1A1B">
              <w:rPr>
                <w:lang w:val="ro-RO"/>
              </w:rPr>
              <w:t>arant</w:t>
            </w:r>
            <w:r>
              <w:rPr>
                <w:lang w:val="ro-RO"/>
              </w:rPr>
              <w:t>ează</w:t>
            </w:r>
            <w:proofErr w:type="spellEnd"/>
            <w:r w:rsidR="009B1A1B">
              <w:rPr>
                <w:lang w:val="ro-RO"/>
              </w:rPr>
              <w:t xml:space="preserve"> </w:t>
            </w:r>
            <w:r w:rsidR="009B1A1B" w:rsidRPr="00F90996">
              <w:rPr>
                <w:lang w:val="ro-RO"/>
              </w:rPr>
              <w:t>contribuția Consiliului raional Florești</w:t>
            </w:r>
            <w:r w:rsidR="00BA04F5">
              <w:rPr>
                <w:lang w:val="ro-RO"/>
              </w:rPr>
              <w:t>,</w:t>
            </w:r>
            <w:r w:rsidR="009B1A1B" w:rsidRPr="00F90996">
              <w:rPr>
                <w:lang w:val="ro-RO"/>
              </w:rPr>
              <w:t xml:space="preserve"> în valoare de 17 155.60 lei, direct proporțională cu acţiunile deținute în SA „Servicii Salubrizare </w:t>
            </w:r>
            <w:r w:rsidR="009B1A1B" w:rsidRPr="00F90996">
              <w:rPr>
                <w:lang w:val="ro-RO"/>
              </w:rPr>
              <w:lastRenderedPageBreak/>
              <w:t>Florești”</w:t>
            </w:r>
          </w:p>
        </w:tc>
      </w:tr>
      <w:tr w:rsidR="005C5A42" w:rsidRPr="00666B25" w:rsidTr="00B10083">
        <w:trPr>
          <w:trHeight w:val="24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</w:rPr>
            </w:pPr>
            <w:r w:rsidRPr="00666B25">
              <w:rPr>
                <w:b/>
                <w:bCs/>
              </w:rPr>
              <w:lastRenderedPageBreak/>
              <w:t xml:space="preserve">4.3. </w:t>
            </w:r>
            <w:proofErr w:type="spellStart"/>
            <w:r w:rsidRPr="00666B25">
              <w:rPr>
                <w:b/>
                <w:bCs/>
              </w:rPr>
              <w:t>Impactul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asupra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sectorului</w:t>
            </w:r>
            <w:proofErr w:type="spellEnd"/>
            <w:r w:rsidRPr="00666B25">
              <w:rPr>
                <w:b/>
                <w:bCs/>
              </w:rPr>
              <w:t xml:space="preserve"> </w:t>
            </w:r>
            <w:proofErr w:type="spellStart"/>
            <w:r w:rsidRPr="00666B25">
              <w:rPr>
                <w:b/>
                <w:bCs/>
              </w:rPr>
              <w:t>privat</w:t>
            </w:r>
            <w:proofErr w:type="spellEnd"/>
          </w:p>
        </w:tc>
      </w:tr>
      <w:tr w:rsidR="005C5A42" w:rsidRPr="00666B25" w:rsidTr="00B10083">
        <w:trPr>
          <w:trHeight w:val="24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</w:rPr>
            </w:pPr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8B14FD" w:rsidTr="00B10083">
        <w:trPr>
          <w:trHeight w:val="915"/>
        </w:trPr>
        <w:tc>
          <w:tcPr>
            <w:tcW w:w="10632" w:type="dxa"/>
          </w:tcPr>
          <w:p w:rsidR="005C5A42" w:rsidRPr="005C5A42" w:rsidRDefault="005C5A42" w:rsidP="00FA7F78">
            <w:pPr>
              <w:rPr>
                <w:b/>
                <w:bCs/>
                <w:lang w:val="en-US"/>
              </w:rPr>
            </w:pPr>
            <w:r w:rsidRPr="005C5A42">
              <w:rPr>
                <w:b/>
                <w:bCs/>
                <w:lang w:val="en-US"/>
              </w:rPr>
              <w:t xml:space="preserve">4.4. </w:t>
            </w:r>
            <w:proofErr w:type="spellStart"/>
            <w:r w:rsidRPr="005C5A42">
              <w:rPr>
                <w:b/>
                <w:bCs/>
                <w:lang w:val="en-US"/>
              </w:rPr>
              <w:t>Impactul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social</w:t>
            </w:r>
          </w:p>
          <w:p w:rsidR="005C5A42" w:rsidRPr="00666B25" w:rsidRDefault="005C5A42" w:rsidP="00FA7F78">
            <w:pPr>
              <w:rPr>
                <w:b/>
                <w:lang w:val="en-US"/>
              </w:rPr>
            </w:pPr>
            <w:r w:rsidRPr="00666B25">
              <w:rPr>
                <w:b/>
                <w:lang w:val="en-US"/>
              </w:rPr>
              <w:t xml:space="preserve">4.4.1. </w:t>
            </w:r>
            <w:proofErr w:type="spellStart"/>
            <w:r w:rsidRPr="00666B25">
              <w:rPr>
                <w:b/>
                <w:lang w:val="en-US"/>
              </w:rPr>
              <w:t>Impactul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asupra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datelor</w:t>
            </w:r>
            <w:proofErr w:type="spellEnd"/>
            <w:r w:rsidRPr="00666B25">
              <w:rPr>
                <w:b/>
                <w:lang w:val="en-US"/>
              </w:rPr>
              <w:t xml:space="preserve"> cu </w:t>
            </w:r>
            <w:proofErr w:type="spellStart"/>
            <w:r w:rsidRPr="00666B25">
              <w:rPr>
                <w:b/>
                <w:lang w:val="en-US"/>
              </w:rPr>
              <w:t>caracter</w:t>
            </w:r>
            <w:proofErr w:type="spellEnd"/>
            <w:r w:rsidRPr="00666B25">
              <w:rPr>
                <w:b/>
                <w:lang w:val="en-US"/>
              </w:rPr>
              <w:t xml:space="preserve"> personal</w:t>
            </w:r>
          </w:p>
          <w:p w:rsidR="005C5A42" w:rsidRPr="00666B25" w:rsidRDefault="005C5A42" w:rsidP="00FA7F78">
            <w:pPr>
              <w:rPr>
                <w:b/>
                <w:bCs/>
                <w:lang w:val="en-US"/>
              </w:rPr>
            </w:pPr>
            <w:r w:rsidRPr="00666B25">
              <w:rPr>
                <w:b/>
                <w:lang w:val="en-US"/>
              </w:rPr>
              <w:t xml:space="preserve">4.4.2. </w:t>
            </w:r>
            <w:proofErr w:type="spellStart"/>
            <w:r w:rsidRPr="00666B25">
              <w:rPr>
                <w:b/>
                <w:lang w:val="en-US"/>
              </w:rPr>
              <w:t>Impactul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asupra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echității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și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egalității</w:t>
            </w:r>
            <w:proofErr w:type="spellEnd"/>
            <w:r w:rsidRPr="00666B25">
              <w:rPr>
                <w:b/>
                <w:lang w:val="en-US"/>
              </w:rPr>
              <w:t xml:space="preserve"> de gen</w:t>
            </w:r>
          </w:p>
        </w:tc>
      </w:tr>
      <w:tr w:rsidR="005C5A42" w:rsidRPr="00666B25" w:rsidTr="00B10083">
        <w:trPr>
          <w:trHeight w:val="278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</w:rPr>
            </w:pPr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666B25" w:rsidTr="00B10083">
        <w:trPr>
          <w:trHeight w:val="278"/>
        </w:trPr>
        <w:tc>
          <w:tcPr>
            <w:tcW w:w="10632" w:type="dxa"/>
          </w:tcPr>
          <w:p w:rsidR="005C5A42" w:rsidRPr="00666B25" w:rsidRDefault="005C5A42" w:rsidP="00FA7F78">
            <w:r w:rsidRPr="00666B25">
              <w:rPr>
                <w:b/>
              </w:rPr>
              <w:t xml:space="preserve">4.5. </w:t>
            </w:r>
            <w:proofErr w:type="spellStart"/>
            <w:r w:rsidRPr="00666B25">
              <w:rPr>
                <w:b/>
              </w:rPr>
              <w:t>Impactul</w:t>
            </w:r>
            <w:proofErr w:type="spellEnd"/>
            <w:r w:rsidRPr="00666B25">
              <w:rPr>
                <w:b/>
              </w:rPr>
              <w:t xml:space="preserve"> </w:t>
            </w:r>
            <w:proofErr w:type="spellStart"/>
            <w:r w:rsidRPr="00666B25">
              <w:rPr>
                <w:b/>
              </w:rPr>
              <w:t>asupra</w:t>
            </w:r>
            <w:proofErr w:type="spellEnd"/>
            <w:r w:rsidRPr="00666B25">
              <w:rPr>
                <w:b/>
              </w:rPr>
              <w:t xml:space="preserve"> </w:t>
            </w:r>
            <w:proofErr w:type="spellStart"/>
            <w:r w:rsidRPr="00666B25">
              <w:rPr>
                <w:b/>
              </w:rPr>
              <w:t>mediului</w:t>
            </w:r>
            <w:proofErr w:type="spellEnd"/>
          </w:p>
        </w:tc>
      </w:tr>
      <w:tr w:rsidR="005C5A42" w:rsidRPr="008B14FD" w:rsidTr="00B10083">
        <w:trPr>
          <w:trHeight w:val="278"/>
        </w:trPr>
        <w:tc>
          <w:tcPr>
            <w:tcW w:w="10632" w:type="dxa"/>
          </w:tcPr>
          <w:p w:rsidR="005C5A42" w:rsidRPr="00BA04F5" w:rsidRDefault="00BA04F5" w:rsidP="00BA04F5">
            <w:pPr>
              <w:rPr>
                <w:b/>
                <w:lang w:val="en-US"/>
              </w:rPr>
            </w:pPr>
            <w:r>
              <w:rPr>
                <w:lang w:val="ro-RO"/>
              </w:rPr>
              <w:t>Îmbunătățirea condițiilor de mediu și a optimizării gestionării deșeurilor menajere solide în raionul Florești</w:t>
            </w:r>
          </w:p>
        </w:tc>
      </w:tr>
      <w:tr w:rsidR="005C5A42" w:rsidRPr="008B14FD" w:rsidTr="00B10083">
        <w:trPr>
          <w:trHeight w:val="278"/>
        </w:trPr>
        <w:tc>
          <w:tcPr>
            <w:tcW w:w="10632" w:type="dxa"/>
          </w:tcPr>
          <w:p w:rsidR="005C5A42" w:rsidRPr="005C5A42" w:rsidRDefault="005C5A42" w:rsidP="00FA7F78">
            <w:pPr>
              <w:rPr>
                <w:b/>
                <w:bCs/>
                <w:lang w:val="en-US"/>
              </w:rPr>
            </w:pPr>
            <w:r w:rsidRPr="005C5A42">
              <w:rPr>
                <w:b/>
                <w:bCs/>
                <w:lang w:val="en-US"/>
              </w:rPr>
              <w:t xml:space="preserve">4.6. </w:t>
            </w:r>
            <w:proofErr w:type="spellStart"/>
            <w:r w:rsidRPr="005C5A42">
              <w:rPr>
                <w:b/>
                <w:bCs/>
                <w:lang w:val="en-US"/>
              </w:rPr>
              <w:t>Alte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impacturi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și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informații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relevante</w:t>
            </w:r>
            <w:proofErr w:type="spellEnd"/>
          </w:p>
        </w:tc>
      </w:tr>
      <w:tr w:rsidR="005C5A42" w:rsidRPr="00666B25" w:rsidTr="00B10083">
        <w:trPr>
          <w:trHeight w:val="278"/>
        </w:trPr>
        <w:tc>
          <w:tcPr>
            <w:tcW w:w="10632" w:type="dxa"/>
          </w:tcPr>
          <w:p w:rsidR="005C5A42" w:rsidRPr="00666B25" w:rsidRDefault="005C5A42" w:rsidP="00FA7F78"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8B14FD" w:rsidTr="00B10083">
        <w:trPr>
          <w:trHeight w:val="278"/>
        </w:trPr>
        <w:tc>
          <w:tcPr>
            <w:tcW w:w="10632" w:type="dxa"/>
          </w:tcPr>
          <w:p w:rsidR="005C5A42" w:rsidRPr="005C5A42" w:rsidRDefault="005C5A42" w:rsidP="00FA7F78">
            <w:pPr>
              <w:rPr>
                <w:b/>
                <w:bCs/>
                <w:lang w:val="en-US"/>
              </w:rPr>
            </w:pPr>
            <w:r w:rsidRPr="005C5A42">
              <w:rPr>
                <w:b/>
                <w:bCs/>
                <w:lang w:val="en-US"/>
              </w:rPr>
              <w:t xml:space="preserve">5. </w:t>
            </w:r>
            <w:proofErr w:type="spellStart"/>
            <w:r w:rsidRPr="005C5A42">
              <w:rPr>
                <w:b/>
                <w:bCs/>
                <w:lang w:val="en-US"/>
              </w:rPr>
              <w:t>Compatibilitatea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proiectului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actului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5A42">
              <w:rPr>
                <w:b/>
                <w:bCs/>
                <w:lang w:val="en-US"/>
              </w:rPr>
              <w:t>normativ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5C5A42">
              <w:rPr>
                <w:b/>
                <w:bCs/>
                <w:lang w:val="en-US"/>
              </w:rPr>
              <w:t>legislația</w:t>
            </w:r>
            <w:proofErr w:type="spellEnd"/>
            <w:r w:rsidRPr="005C5A42">
              <w:rPr>
                <w:b/>
                <w:bCs/>
                <w:lang w:val="en-US"/>
              </w:rPr>
              <w:t xml:space="preserve"> UE</w:t>
            </w:r>
          </w:p>
        </w:tc>
      </w:tr>
      <w:tr w:rsidR="005C5A42" w:rsidRPr="00666B25" w:rsidTr="00B10083">
        <w:trPr>
          <w:trHeight w:val="278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</w:rPr>
            </w:pPr>
            <w:proofErr w:type="spellStart"/>
            <w:r w:rsidRPr="00666B25">
              <w:t>Nu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este</w:t>
            </w:r>
            <w:proofErr w:type="spellEnd"/>
            <w:r w:rsidRPr="00666B25">
              <w:t xml:space="preserve"> </w:t>
            </w:r>
            <w:proofErr w:type="spellStart"/>
            <w:r w:rsidRPr="00666B25">
              <w:t>aplicabil</w:t>
            </w:r>
            <w:proofErr w:type="spellEnd"/>
          </w:p>
        </w:tc>
      </w:tr>
      <w:tr w:rsidR="005C5A42" w:rsidRPr="008B14FD" w:rsidTr="00B10083">
        <w:trPr>
          <w:trHeight w:val="278"/>
        </w:trPr>
        <w:tc>
          <w:tcPr>
            <w:tcW w:w="10632" w:type="dxa"/>
          </w:tcPr>
          <w:p w:rsidR="005C5A42" w:rsidRPr="005C5A42" w:rsidRDefault="005C5A42" w:rsidP="00FA7F78">
            <w:pPr>
              <w:rPr>
                <w:b/>
                <w:bCs/>
                <w:lang w:val="en-US"/>
              </w:rPr>
            </w:pPr>
            <w:r w:rsidRPr="00666B25">
              <w:rPr>
                <w:b/>
                <w:lang w:val="en-US"/>
              </w:rPr>
              <w:t xml:space="preserve">6. </w:t>
            </w:r>
            <w:proofErr w:type="spellStart"/>
            <w:r w:rsidRPr="00666B25">
              <w:rPr>
                <w:b/>
                <w:lang w:val="en-US"/>
              </w:rPr>
              <w:t>Avizarea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şi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consultarea</w:t>
            </w:r>
            <w:proofErr w:type="spellEnd"/>
            <w:r w:rsidRPr="00666B25">
              <w:rPr>
                <w:b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lang w:val="en-US"/>
              </w:rPr>
              <w:t>publică</w:t>
            </w:r>
            <w:proofErr w:type="spellEnd"/>
            <w:r w:rsidRPr="00666B25">
              <w:rPr>
                <w:b/>
                <w:lang w:val="en-US"/>
              </w:rPr>
              <w:t xml:space="preserve"> a </w:t>
            </w:r>
            <w:proofErr w:type="spellStart"/>
            <w:r w:rsidRPr="00666B25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5C5A42" w:rsidRPr="008B14FD" w:rsidTr="00B10083">
        <w:trPr>
          <w:trHeight w:val="278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lang w:val="en-US"/>
              </w:rPr>
            </w:pPr>
            <w:proofErr w:type="spellStart"/>
            <w:r w:rsidRPr="00666B25">
              <w:rPr>
                <w:lang w:val="en-US"/>
              </w:rPr>
              <w:t>Proiectul</w:t>
            </w:r>
            <w:proofErr w:type="spellEnd"/>
            <w:r w:rsidRPr="00666B25">
              <w:rPr>
                <w:lang w:val="en-US"/>
              </w:rPr>
              <w:t xml:space="preserve"> de </w:t>
            </w:r>
            <w:proofErr w:type="spellStart"/>
            <w:r w:rsidRPr="00666B25">
              <w:rPr>
                <w:lang w:val="en-US"/>
              </w:rPr>
              <w:t>decizie</w:t>
            </w:r>
            <w:proofErr w:type="spellEnd"/>
            <w:r w:rsidRPr="00666B25">
              <w:rPr>
                <w:lang w:val="en-US"/>
              </w:rPr>
              <w:t xml:space="preserve"> a </w:t>
            </w:r>
            <w:proofErr w:type="spellStart"/>
            <w:r w:rsidRPr="00666B25">
              <w:rPr>
                <w:lang w:val="en-US"/>
              </w:rPr>
              <w:t>fost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avizat</w:t>
            </w:r>
            <w:proofErr w:type="spellEnd"/>
            <w:r w:rsidRPr="00666B25">
              <w:rPr>
                <w:lang w:val="en-US"/>
              </w:rPr>
              <w:t xml:space="preserve"> de </w:t>
            </w:r>
            <w:proofErr w:type="spellStart"/>
            <w:r w:rsidRPr="00666B25">
              <w:rPr>
                <w:lang w:val="en-US"/>
              </w:rPr>
              <w:t>către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comisiile</w:t>
            </w:r>
            <w:proofErr w:type="spellEnd"/>
            <w:r w:rsidRPr="00666B25">
              <w:rPr>
                <w:lang w:val="en-US"/>
              </w:rPr>
              <w:t xml:space="preserve"> consultative de </w:t>
            </w:r>
            <w:proofErr w:type="spellStart"/>
            <w:r w:rsidRPr="00666B25">
              <w:rPr>
                <w:lang w:val="en-US"/>
              </w:rPr>
              <w:t>specialitate</w:t>
            </w:r>
            <w:proofErr w:type="spellEnd"/>
            <w:r w:rsidRPr="00666B25">
              <w:rPr>
                <w:lang w:val="en-US"/>
              </w:rPr>
              <w:t xml:space="preserve">, </w:t>
            </w:r>
            <w:proofErr w:type="spellStart"/>
            <w:r w:rsidRPr="00666B25">
              <w:rPr>
                <w:lang w:val="en-US"/>
              </w:rPr>
              <w:t>Secţia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Juridică</w:t>
            </w:r>
            <w:proofErr w:type="spellEnd"/>
            <w:r w:rsidRPr="00666B25">
              <w:rPr>
                <w:lang w:val="en-US"/>
              </w:rPr>
              <w:t xml:space="preserve">, </w:t>
            </w:r>
            <w:proofErr w:type="spellStart"/>
            <w:r w:rsidRPr="00666B25">
              <w:rPr>
                <w:lang w:val="en-US"/>
              </w:rPr>
              <w:t>Resurse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Umane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şi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Administraţie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Publică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şi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secretarul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Consiliului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raional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Floreşti</w:t>
            </w:r>
            <w:proofErr w:type="spellEnd"/>
            <w:r w:rsidRPr="00666B25">
              <w:rPr>
                <w:lang w:val="en-US"/>
              </w:rPr>
              <w:t xml:space="preserve">. </w:t>
            </w:r>
            <w:proofErr w:type="spellStart"/>
            <w:r w:rsidRPr="00666B25">
              <w:rPr>
                <w:lang w:val="en-US"/>
              </w:rPr>
              <w:t>În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scopul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respectării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prevederilor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Legii</w:t>
            </w:r>
            <w:proofErr w:type="spellEnd"/>
            <w:r w:rsidRPr="00666B25">
              <w:rPr>
                <w:lang w:val="en-US"/>
              </w:rPr>
              <w:t xml:space="preserve"> nr.239/2008 </w:t>
            </w:r>
            <w:proofErr w:type="gramStart"/>
            <w:r w:rsidRPr="00666B25">
              <w:rPr>
                <w:lang w:val="en-US"/>
              </w:rPr>
              <w:t>,,</w:t>
            </w:r>
            <w:proofErr w:type="spellStart"/>
            <w:r w:rsidRPr="00666B25">
              <w:rPr>
                <w:lang w:val="en-US"/>
              </w:rPr>
              <w:t>Privind</w:t>
            </w:r>
            <w:proofErr w:type="spellEnd"/>
            <w:proofErr w:type="gram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transparenţa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în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procesul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decizional</w:t>
            </w:r>
            <w:proofErr w:type="spellEnd"/>
            <w:r w:rsidRPr="00666B25">
              <w:rPr>
                <w:lang w:val="en-US"/>
              </w:rPr>
              <w:t xml:space="preserve">’’, </w:t>
            </w:r>
            <w:proofErr w:type="spellStart"/>
            <w:r w:rsidRPr="00666B25">
              <w:rPr>
                <w:lang w:val="en-US"/>
              </w:rPr>
              <w:t>proiectul</w:t>
            </w:r>
            <w:proofErr w:type="spellEnd"/>
            <w:r w:rsidRPr="00666B25">
              <w:rPr>
                <w:lang w:val="en-US"/>
              </w:rPr>
              <w:t xml:space="preserve"> a </w:t>
            </w:r>
            <w:proofErr w:type="spellStart"/>
            <w:r w:rsidRPr="00666B25">
              <w:rPr>
                <w:lang w:val="en-US"/>
              </w:rPr>
              <w:t>fost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plasat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pe</w:t>
            </w:r>
            <w:proofErr w:type="spellEnd"/>
            <w:r w:rsidRPr="00666B25">
              <w:rPr>
                <w:lang w:val="en-US"/>
              </w:rPr>
              <w:t xml:space="preserve"> site-</w:t>
            </w:r>
            <w:proofErr w:type="spellStart"/>
            <w:r w:rsidRPr="00666B25">
              <w:rPr>
                <w:lang w:val="en-US"/>
              </w:rPr>
              <w:t>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Consiliului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raional</w:t>
            </w:r>
            <w:proofErr w:type="spellEnd"/>
            <w:r w:rsidRPr="00666B25">
              <w:rPr>
                <w:lang w:val="en-US"/>
              </w:rPr>
              <w:t xml:space="preserve"> la </w:t>
            </w:r>
            <w:proofErr w:type="spellStart"/>
            <w:r w:rsidRPr="00666B25">
              <w:rPr>
                <w:lang w:val="en-US"/>
              </w:rPr>
              <w:t>directoriul</w:t>
            </w:r>
            <w:proofErr w:type="spellEnd"/>
            <w:r w:rsidRPr="00666B25">
              <w:rPr>
                <w:lang w:val="en-US"/>
              </w:rPr>
              <w:t xml:space="preserve"> ,,</w:t>
            </w:r>
            <w:proofErr w:type="spellStart"/>
            <w:r w:rsidRPr="00666B25">
              <w:rPr>
                <w:lang w:val="en-US"/>
              </w:rPr>
              <w:t>Procesul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decizional</w:t>
            </w:r>
            <w:proofErr w:type="spellEnd"/>
            <w:r w:rsidRPr="00666B25">
              <w:rPr>
                <w:lang w:val="en-US"/>
              </w:rPr>
              <w:t>”.</w:t>
            </w:r>
          </w:p>
        </w:tc>
      </w:tr>
      <w:tr w:rsidR="005C5A42" w:rsidRPr="008B14FD" w:rsidTr="00B10083">
        <w:trPr>
          <w:trHeight w:val="170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bCs/>
                <w:lang w:val="ro-RO"/>
              </w:rPr>
              <w:t>7.</w:t>
            </w:r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Modul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666B25">
              <w:rPr>
                <w:b/>
                <w:bCs/>
                <w:lang w:val="en-US"/>
              </w:rPr>
              <w:t>încorporare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666B25">
              <w:rPr>
                <w:b/>
                <w:bCs/>
                <w:lang w:val="en-US"/>
              </w:rPr>
              <w:t>actului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în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cadrul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6B25">
              <w:rPr>
                <w:b/>
                <w:bCs/>
                <w:lang w:val="en-US"/>
              </w:rPr>
              <w:t>normativ</w:t>
            </w:r>
            <w:proofErr w:type="spellEnd"/>
            <w:r w:rsidRPr="00666B25">
              <w:rPr>
                <w:b/>
                <w:bCs/>
                <w:lang w:val="en-US"/>
              </w:rPr>
              <w:t xml:space="preserve"> existent</w:t>
            </w:r>
          </w:p>
        </w:tc>
      </w:tr>
      <w:tr w:rsidR="005C5A42" w:rsidRPr="008B14FD" w:rsidTr="00B10083">
        <w:trPr>
          <w:trHeight w:val="400"/>
        </w:trPr>
        <w:tc>
          <w:tcPr>
            <w:tcW w:w="10632" w:type="dxa"/>
          </w:tcPr>
          <w:p w:rsidR="005C5A42" w:rsidRPr="00666B25" w:rsidRDefault="005C5A42" w:rsidP="00FA7F78">
            <w:pPr>
              <w:jc w:val="both"/>
              <w:rPr>
                <w:bCs/>
                <w:lang w:val="ro-RO"/>
              </w:rPr>
            </w:pPr>
            <w:r w:rsidRPr="00666B25">
              <w:rPr>
                <w:bCs/>
                <w:lang w:val="ro-RO"/>
              </w:rPr>
              <w:t>Proiectul de decizie este întocmit în conformitate cu actele normative în vigoare.</w:t>
            </w:r>
          </w:p>
        </w:tc>
      </w:tr>
      <w:tr w:rsidR="005C5A42" w:rsidRPr="008B14FD" w:rsidTr="00B10083">
        <w:trPr>
          <w:trHeight w:val="272"/>
        </w:trPr>
        <w:tc>
          <w:tcPr>
            <w:tcW w:w="10632" w:type="dxa"/>
          </w:tcPr>
          <w:p w:rsidR="005C5A42" w:rsidRPr="00666B25" w:rsidRDefault="005C5A42" w:rsidP="00FA7F78">
            <w:pPr>
              <w:rPr>
                <w:b/>
                <w:bCs/>
                <w:lang w:val="ro-RO"/>
              </w:rPr>
            </w:pPr>
            <w:r w:rsidRPr="00666B25">
              <w:rPr>
                <w:b/>
                <w:bCs/>
                <w:lang w:val="ro-RO"/>
              </w:rPr>
              <w:t>8. Măsurile necesare pentru implementarea prevederilor proiectului actului normativ</w:t>
            </w:r>
          </w:p>
        </w:tc>
      </w:tr>
      <w:tr w:rsidR="005C5A42" w:rsidRPr="00666B25" w:rsidTr="00B10083">
        <w:trPr>
          <w:trHeight w:val="272"/>
        </w:trPr>
        <w:tc>
          <w:tcPr>
            <w:tcW w:w="10632" w:type="dxa"/>
          </w:tcPr>
          <w:p w:rsidR="005C5A42" w:rsidRPr="00666B25" w:rsidRDefault="005C5A42" w:rsidP="00FA7F78">
            <w:pPr>
              <w:jc w:val="both"/>
              <w:rPr>
                <w:b/>
                <w:bCs/>
              </w:rPr>
            </w:pPr>
            <w:r w:rsidRPr="00666B25">
              <w:rPr>
                <w:lang w:val="en-US"/>
              </w:rPr>
              <w:t xml:space="preserve">Nu </w:t>
            </w:r>
            <w:proofErr w:type="spellStart"/>
            <w:r w:rsidRPr="00666B25">
              <w:rPr>
                <w:lang w:val="en-US"/>
              </w:rPr>
              <w:t>este</w:t>
            </w:r>
            <w:proofErr w:type="spellEnd"/>
            <w:r w:rsidRPr="00666B25">
              <w:rPr>
                <w:lang w:val="en-US"/>
              </w:rPr>
              <w:t xml:space="preserve"> </w:t>
            </w:r>
            <w:proofErr w:type="spellStart"/>
            <w:r w:rsidRPr="00666B25">
              <w:rPr>
                <w:lang w:val="en-US"/>
              </w:rPr>
              <w:t>aplicabil</w:t>
            </w:r>
            <w:proofErr w:type="spellEnd"/>
          </w:p>
        </w:tc>
      </w:tr>
    </w:tbl>
    <w:p w:rsidR="005C5A42" w:rsidRDefault="005C5A42" w:rsidP="005C5A42">
      <w:pPr>
        <w:ind w:right="209"/>
        <w:jc w:val="right"/>
        <w:rPr>
          <w:bCs/>
          <w:lang w:val="ro-RO"/>
        </w:rPr>
      </w:pPr>
    </w:p>
    <w:p w:rsidR="005C5A42" w:rsidRDefault="005C5A42" w:rsidP="005C5A42">
      <w:pPr>
        <w:ind w:right="209"/>
        <w:jc w:val="right"/>
        <w:rPr>
          <w:bCs/>
          <w:lang w:val="ro-RO"/>
        </w:rPr>
      </w:pPr>
    </w:p>
    <w:p w:rsidR="005C5A42" w:rsidRPr="00666B25" w:rsidRDefault="005C5A42" w:rsidP="005C5A42">
      <w:pPr>
        <w:ind w:right="209"/>
        <w:jc w:val="right"/>
        <w:rPr>
          <w:bCs/>
          <w:lang w:val="ro-RO"/>
        </w:rPr>
      </w:pPr>
      <w:r w:rsidRPr="00666B25">
        <w:rPr>
          <w:bCs/>
          <w:lang w:val="ro-RO"/>
        </w:rPr>
        <w:t xml:space="preserve">                                                                                                                                                       </w:t>
      </w:r>
    </w:p>
    <w:p w:rsidR="005C5A42" w:rsidRPr="00666B25" w:rsidRDefault="005C5A42" w:rsidP="005C5A42">
      <w:pPr>
        <w:ind w:right="209"/>
        <w:jc w:val="right"/>
        <w:rPr>
          <w:b/>
          <w:lang w:val="ro-RO"/>
        </w:rPr>
      </w:pPr>
      <w:r w:rsidRPr="00666B25">
        <w:rPr>
          <w:bCs/>
          <w:lang w:val="ro-RO"/>
        </w:rPr>
        <w:t xml:space="preserve">                                                                         </w:t>
      </w:r>
      <w:r w:rsidRPr="00666B25">
        <w:rPr>
          <w:b/>
          <w:lang w:val="ro-RO"/>
        </w:rPr>
        <w:t>Natalia Bogdan,</w:t>
      </w:r>
    </w:p>
    <w:p w:rsidR="005C5A42" w:rsidRPr="00666B25" w:rsidRDefault="005C5A42" w:rsidP="005C5A42">
      <w:pPr>
        <w:ind w:right="209"/>
        <w:jc w:val="right"/>
        <w:rPr>
          <w:b/>
          <w:lang w:val="ro-RO"/>
        </w:rPr>
      </w:pPr>
      <w:r w:rsidRPr="00666B25">
        <w:rPr>
          <w:b/>
          <w:lang w:val="ro-RO"/>
        </w:rPr>
        <w:t xml:space="preserve">                                                              şefă, Direcția Economie și Atragere a Investițiilor</w:t>
      </w:r>
      <w:r w:rsidRPr="00666B25">
        <w:rPr>
          <w:b/>
          <w:color w:val="000000"/>
          <w:lang w:val="ro-RO"/>
        </w:rPr>
        <w:t xml:space="preserve">                                     </w:t>
      </w:r>
    </w:p>
    <w:p w:rsidR="005C5A42" w:rsidRPr="001548EC" w:rsidRDefault="005C5A42" w:rsidP="001548EC">
      <w:pPr>
        <w:jc w:val="both"/>
        <w:rPr>
          <w:lang w:val="ro-RO"/>
        </w:rPr>
      </w:pPr>
    </w:p>
    <w:sectPr w:rsidR="005C5A42" w:rsidRPr="001548EC" w:rsidSect="00F01D7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33" w:rsidRDefault="005F3633" w:rsidP="008B14FD">
      <w:r>
        <w:separator/>
      </w:r>
    </w:p>
  </w:endnote>
  <w:endnote w:type="continuationSeparator" w:id="0">
    <w:p w:rsidR="005F3633" w:rsidRDefault="005F3633" w:rsidP="008B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33" w:rsidRDefault="005F3633" w:rsidP="008B14FD">
      <w:r>
        <w:separator/>
      </w:r>
    </w:p>
  </w:footnote>
  <w:footnote w:type="continuationSeparator" w:id="0">
    <w:p w:rsidR="005F3633" w:rsidRDefault="005F3633" w:rsidP="008B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01B"/>
    <w:multiLevelType w:val="hybridMultilevel"/>
    <w:tmpl w:val="054A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2D84"/>
    <w:multiLevelType w:val="hybridMultilevel"/>
    <w:tmpl w:val="E7BE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5574"/>
    <w:multiLevelType w:val="multilevel"/>
    <w:tmpl w:val="931C2D2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4E2114"/>
    <w:multiLevelType w:val="hybridMultilevel"/>
    <w:tmpl w:val="40ECF8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E93756"/>
    <w:multiLevelType w:val="hybridMultilevel"/>
    <w:tmpl w:val="054A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EC"/>
    <w:rsid w:val="00004289"/>
    <w:rsid w:val="00011E2A"/>
    <w:rsid w:val="00086003"/>
    <w:rsid w:val="000D23E9"/>
    <w:rsid w:val="000D25DF"/>
    <w:rsid w:val="000E0E3F"/>
    <w:rsid w:val="001548EC"/>
    <w:rsid w:val="00160A00"/>
    <w:rsid w:val="001E287A"/>
    <w:rsid w:val="001F3A1B"/>
    <w:rsid w:val="00217B83"/>
    <w:rsid w:val="002655E0"/>
    <w:rsid w:val="002966AA"/>
    <w:rsid w:val="002C7FA9"/>
    <w:rsid w:val="002F7937"/>
    <w:rsid w:val="00397382"/>
    <w:rsid w:val="003C1B3C"/>
    <w:rsid w:val="003D3C93"/>
    <w:rsid w:val="00414244"/>
    <w:rsid w:val="00482833"/>
    <w:rsid w:val="004D11EA"/>
    <w:rsid w:val="004D21CC"/>
    <w:rsid w:val="00501DAB"/>
    <w:rsid w:val="005C5A42"/>
    <w:rsid w:val="005E4C94"/>
    <w:rsid w:val="005F3633"/>
    <w:rsid w:val="00633111"/>
    <w:rsid w:val="006A686E"/>
    <w:rsid w:val="006C0B77"/>
    <w:rsid w:val="006C5C04"/>
    <w:rsid w:val="007B7A9B"/>
    <w:rsid w:val="00802984"/>
    <w:rsid w:val="0080504B"/>
    <w:rsid w:val="008242FF"/>
    <w:rsid w:val="00870751"/>
    <w:rsid w:val="008B14FD"/>
    <w:rsid w:val="008C4169"/>
    <w:rsid w:val="008D0824"/>
    <w:rsid w:val="00922C48"/>
    <w:rsid w:val="009B1A1B"/>
    <w:rsid w:val="009D6DDF"/>
    <w:rsid w:val="009E2C27"/>
    <w:rsid w:val="009E376C"/>
    <w:rsid w:val="00A05F97"/>
    <w:rsid w:val="00A945BC"/>
    <w:rsid w:val="00AB72F9"/>
    <w:rsid w:val="00AB7A0C"/>
    <w:rsid w:val="00B10083"/>
    <w:rsid w:val="00B218CE"/>
    <w:rsid w:val="00B32FE9"/>
    <w:rsid w:val="00B603FF"/>
    <w:rsid w:val="00B77925"/>
    <w:rsid w:val="00B915B7"/>
    <w:rsid w:val="00BA04F5"/>
    <w:rsid w:val="00BA3C31"/>
    <w:rsid w:val="00C57802"/>
    <w:rsid w:val="00C73679"/>
    <w:rsid w:val="00C87113"/>
    <w:rsid w:val="00CA7132"/>
    <w:rsid w:val="00CB1091"/>
    <w:rsid w:val="00CD57C9"/>
    <w:rsid w:val="00CE0FF7"/>
    <w:rsid w:val="00D12397"/>
    <w:rsid w:val="00D56C48"/>
    <w:rsid w:val="00E231B0"/>
    <w:rsid w:val="00E862EC"/>
    <w:rsid w:val="00EA59DF"/>
    <w:rsid w:val="00EE4070"/>
    <w:rsid w:val="00EE7117"/>
    <w:rsid w:val="00F01D7D"/>
    <w:rsid w:val="00F01F12"/>
    <w:rsid w:val="00F12129"/>
    <w:rsid w:val="00F12C76"/>
    <w:rsid w:val="00F2634A"/>
    <w:rsid w:val="00F716BD"/>
    <w:rsid w:val="00F90996"/>
    <w:rsid w:val="00FC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8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8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8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8E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48E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48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548E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548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48E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54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8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8E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548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8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8E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548EC"/>
    <w:rPr>
      <w:b/>
      <w:bCs/>
      <w:smallCaps/>
      <w:color w:val="2F5496" w:themeColor="accent1" w:themeShade="BF"/>
      <w:spacing w:val="5"/>
    </w:rPr>
  </w:style>
  <w:style w:type="paragraph" w:customStyle="1" w:styleId="Implicit">
    <w:name w:val="Implicit"/>
    <w:rsid w:val="00C87113"/>
    <w:pPr>
      <w:tabs>
        <w:tab w:val="left" w:pos="708"/>
      </w:tabs>
      <w:suppressAutoHyphens/>
      <w:spacing w:after="0" w:line="276" w:lineRule="auto"/>
    </w:pPr>
    <w:rPr>
      <w:rFonts w:ascii="Calibri" w:eastAsia="SimSun" w:hAnsi="Calibri" w:cs="Times New Roman"/>
      <w:kern w:val="0"/>
    </w:rPr>
  </w:style>
  <w:style w:type="paragraph" w:styleId="ac">
    <w:name w:val="footnote text"/>
    <w:basedOn w:val="a"/>
    <w:link w:val="ad"/>
    <w:uiPriority w:val="99"/>
    <w:unhideWhenUsed/>
    <w:rsid w:val="008B14FD"/>
    <w:rPr>
      <w:rFonts w:asciiTheme="minorHAnsi" w:eastAsiaTheme="minorHAnsi" w:hAnsiTheme="minorHAnsi" w:cstheme="minorBidi"/>
      <w:sz w:val="20"/>
      <w:szCs w:val="20"/>
      <w:lang w:val="ro-RO" w:eastAsia="en-US"/>
    </w:rPr>
  </w:style>
  <w:style w:type="character" w:customStyle="1" w:styleId="ad">
    <w:name w:val="Текст сноски Знак"/>
    <w:basedOn w:val="a0"/>
    <w:link w:val="ac"/>
    <w:uiPriority w:val="99"/>
    <w:rsid w:val="008B14FD"/>
    <w:rPr>
      <w:kern w:val="0"/>
      <w:sz w:val="20"/>
      <w:szCs w:val="20"/>
      <w:lang w:val="ro-RO"/>
    </w:rPr>
  </w:style>
  <w:style w:type="character" w:styleId="a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a0"/>
    <w:link w:val="BVIfnrChar1Char"/>
    <w:unhideWhenUsed/>
    <w:qFormat/>
    <w:rsid w:val="008B14FD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a"/>
    <w:next w:val="a"/>
    <w:link w:val="ae"/>
    <w:qFormat/>
    <w:rsid w:val="008B14FD"/>
    <w:pPr>
      <w:spacing w:after="160" w:line="240" w:lineRule="exact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</w:rPr>
  </w:style>
  <w:style w:type="table" w:styleId="af">
    <w:name w:val="Table Grid"/>
    <w:basedOn w:val="a1"/>
    <w:uiPriority w:val="39"/>
    <w:rsid w:val="008B14FD"/>
    <w:pPr>
      <w:spacing w:after="0" w:line="240" w:lineRule="auto"/>
    </w:pPr>
    <w:rPr>
      <w:kern w:val="0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2025-03-12T09:16:00Z</cp:lastPrinted>
  <dcterms:created xsi:type="dcterms:W3CDTF">2025-03-10T11:48:00Z</dcterms:created>
  <dcterms:modified xsi:type="dcterms:W3CDTF">2025-03-12T09:24:00Z</dcterms:modified>
</cp:coreProperties>
</file>